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42" w:rsidRDefault="00427ADD">
      <w:pPr>
        <w:widowControl w:val="0"/>
        <w:ind w:right="141"/>
        <w:jc w:val="center"/>
        <w:rPr>
          <w:b/>
          <w:color w:val="000000"/>
        </w:rPr>
      </w:pPr>
      <w:bookmarkStart w:id="0" w:name="_GoBack"/>
      <w:bookmarkEnd w:id="0"/>
      <w:r>
        <w:rPr>
          <w:b/>
          <w:color w:val="000000"/>
        </w:rPr>
        <w:t xml:space="preserve">Bài tham luận </w:t>
      </w:r>
    </w:p>
    <w:p w:rsidR="00495942" w:rsidRDefault="00427ADD">
      <w:pPr>
        <w:widowControl w:val="0"/>
        <w:ind w:right="141"/>
        <w:jc w:val="center"/>
        <w:rPr>
          <w:b/>
          <w:color w:val="000000"/>
        </w:rPr>
      </w:pPr>
      <w:r>
        <w:rPr>
          <w:b/>
          <w:color w:val="000000"/>
        </w:rPr>
        <w:t xml:space="preserve">Hội nghị thúc đẩy sản xuất, sử dụng và nâng cao chất lượng phân bón hữu cơ </w:t>
      </w:r>
    </w:p>
    <w:p w:rsidR="00495942" w:rsidRDefault="00427ADD">
      <w:pPr>
        <w:widowControl w:val="0"/>
        <w:ind w:right="141"/>
        <w:jc w:val="center"/>
        <w:rPr>
          <w:b/>
          <w:color w:val="000000"/>
        </w:rPr>
      </w:pPr>
      <w:r>
        <w:rPr>
          <w:b/>
          <w:color w:val="000000"/>
        </w:rPr>
        <w:t>Hà Nội, ngày 08/6/2019</w:t>
      </w:r>
    </w:p>
    <w:p w:rsidR="00495942" w:rsidRDefault="00495942">
      <w:pPr>
        <w:widowControl w:val="0"/>
        <w:ind w:right="141"/>
        <w:jc w:val="center"/>
        <w:rPr>
          <w:b/>
          <w:color w:val="000000"/>
        </w:rPr>
      </w:pPr>
    </w:p>
    <w:p w:rsidR="00495942" w:rsidRDefault="00427ADD">
      <w:pPr>
        <w:widowControl w:val="0"/>
        <w:ind w:right="141"/>
        <w:jc w:val="center"/>
        <w:rPr>
          <w:b/>
          <w:bCs/>
          <w:color w:val="000000"/>
        </w:rPr>
      </w:pPr>
      <w:r>
        <w:rPr>
          <w:b/>
          <w:bCs/>
          <w:color w:val="000000"/>
        </w:rPr>
        <w:t>KẾT QUẢ THỰC HIỆN MỘT SỐ MÔ HÌNH KHAI THÁC, SỬ DỤNG CHẤT THẢI CHĂN NUÔI SẢN XUẤT PHÂN BÓN HỮU CƠ</w:t>
      </w:r>
    </w:p>
    <w:p w:rsidR="00495942" w:rsidRDefault="00495942">
      <w:pPr>
        <w:widowControl w:val="0"/>
        <w:spacing w:line="312" w:lineRule="auto"/>
        <w:ind w:right="-2"/>
        <w:jc w:val="right"/>
        <w:rPr>
          <w:b/>
          <w:bCs/>
          <w:color w:val="000000"/>
        </w:rPr>
      </w:pPr>
    </w:p>
    <w:p w:rsidR="00495942" w:rsidRDefault="00427ADD">
      <w:pPr>
        <w:widowControl w:val="0"/>
        <w:spacing w:line="312" w:lineRule="auto"/>
        <w:ind w:left="2160" w:right="-2"/>
        <w:jc w:val="right"/>
        <w:rPr>
          <w:i/>
          <w:color w:val="000000"/>
          <w:lang w:val="nl-NL"/>
        </w:rPr>
      </w:pPr>
      <w:r>
        <w:rPr>
          <w:bCs/>
          <w:i/>
          <w:color w:val="000000"/>
          <w:lang w:val="nl-NL"/>
        </w:rPr>
        <w:t xml:space="preserve">TS. Nguyễn Thế Hinh, </w:t>
      </w:r>
      <w:r>
        <w:rPr>
          <w:i/>
          <w:color w:val="000000"/>
          <w:lang w:val="nl-NL"/>
        </w:rPr>
        <w:t xml:space="preserve">Ban Quản lý các dự án Nông nghiệp </w:t>
      </w:r>
      <w:bookmarkStart w:id="1" w:name="_Toc343000515"/>
      <w:bookmarkStart w:id="2" w:name="_Toc351373794"/>
      <w:bookmarkStart w:id="3" w:name="_Toc351536877"/>
      <w:bookmarkStart w:id="4" w:name="_Toc351537543"/>
    </w:p>
    <w:p w:rsidR="00495942" w:rsidRDefault="00427ADD">
      <w:pPr>
        <w:pStyle w:val="ListParagraph"/>
        <w:widowControl w:val="0"/>
        <w:numPr>
          <w:ilvl w:val="0"/>
          <w:numId w:val="1"/>
        </w:numPr>
        <w:spacing w:before="120" w:after="120"/>
        <w:rPr>
          <w:b/>
          <w:shd w:val="clear" w:color="auto" w:fill="FFFFFF"/>
        </w:rPr>
      </w:pPr>
      <w:r>
        <w:rPr>
          <w:b/>
          <w:shd w:val="clear" w:color="auto" w:fill="FFFFFF"/>
        </w:rPr>
        <w:t>Mở đầu</w:t>
      </w:r>
    </w:p>
    <w:p w:rsidR="00495942" w:rsidRDefault="00427ADD">
      <w:pPr>
        <w:pStyle w:val="ListParagraph"/>
        <w:spacing w:before="120" w:after="120"/>
        <w:contextualSpacing w:val="0"/>
        <w:jc w:val="both"/>
        <w:rPr>
          <w:rFonts w:eastAsia="Calibri"/>
        </w:rPr>
      </w:pPr>
      <w:r>
        <w:rPr>
          <w:rFonts w:eastAsia="Calibri"/>
        </w:rPr>
        <w:t>Nước ta có ngành trồng trọt phát triển với nhu cầu sử dụng phân bón rất lớn. Hàng năm, Việt Nam sử dụng khoảng 11 triệu tấn phân bón cho gần 10 triệu ha đất nông nghiệp, trong đó trên 90% là phân bón vô cơ. Theo số liệu thống kê năm 2017, nước ta nhập khẩu 4,6 triệu tấn phân bón trị giá 1,2 tỷ USD. Mặt khác, ngành chăn nuôi với quy mô hơn 262 triệu gia cầm, 29 triệu lợn và 8 triệu gia súc hàng năm thải ra khoảng 64 triệu tấn phân và 63 tỷ lít nước tiểu, phần lớn thải bỏ ra môi trường gây ô nhiễm mà chưa được sử dụng làm phân bón hữu cơ cho trồng trọt. Thực trạng này đã gây thiệt hại to lớn cả về kinh tế và môi trường cho đất nước.</w:t>
      </w:r>
    </w:p>
    <w:p w:rsidR="00495942" w:rsidRDefault="00427ADD">
      <w:pPr>
        <w:pStyle w:val="ListParagraph"/>
        <w:spacing w:before="120" w:after="120"/>
        <w:contextualSpacing w:val="0"/>
        <w:jc w:val="both"/>
      </w:pPr>
      <w:r>
        <w:t>Tính bình quân mỗi ha canh tác ở Việt Nam nhận hơn 1 tấn phân bón vô cơ mỗi năm, đây là mức cao so với các nước trong khu vực. Khi sử dụng phân bón vô cơ, cây trồng chỉ sử dụng khoảng từ  30 - 50% lượng phân bón để tạo sinh khối, phần lớn lượng phân bón vô cơ còn lại sẽ bị bốc hơi và rửa trôi xuống nguồn nước gây ô nhiễm môi trường. Càng sử dụng nhiều phân bón vô cơ, đất càng bị chai và lượng phân vô cơ bị rửa trôi càng nhiều hơn. Nhiều nghiên cứu khoa học đã chứng minh bón phân hữu cơ sẽ giúp cấu trúc đất tơi xốp và làm giảm đáng kể lượng phân bón vô cơ bị thất thoát trong quá trình canh tác.</w:t>
      </w:r>
    </w:p>
    <w:p w:rsidR="00495942" w:rsidRDefault="00427ADD">
      <w:pPr>
        <w:pStyle w:val="ListParagraph"/>
        <w:spacing w:before="120" w:after="120"/>
        <w:contextualSpacing w:val="0"/>
        <w:jc w:val="both"/>
      </w:pPr>
      <w:r>
        <w:t>Phần lớn chất thải chăn nuôi đang được xử lý không đúng cách dẫn đến nguồn “tài nguyên quý giá” chất thải chăn nuôi không những không được ngành trồng trọt không thể tận dụng để thay thế phân bón vô cơ nhập khẩu mà còn bị thải bỏ gây ô nhiễm nghiêm trọng môi trường nông thôn. Các chủ trang trại chăn nuôi hiện đang phải ứng dụng các công nghệ khá tốn kém để xử lý nước thải chăn nuôi thật sạch tuân thủ QCVN 62-BTNMT để xả thải xuống nguồn nước mà ít quan tâm đến ứng dụng các công nghệ xử lý nguồn nước thải chăn nuôi có giá trị cao về phân bón này cho mục đích trồng trọt.</w:t>
      </w:r>
    </w:p>
    <w:p w:rsidR="00495942" w:rsidRDefault="00427ADD">
      <w:pPr>
        <w:pStyle w:val="ListParagraph"/>
        <w:spacing w:before="120" w:after="120"/>
        <w:contextualSpacing w:val="0"/>
        <w:jc w:val="both"/>
        <w:rPr>
          <w:rFonts w:eastAsia="Calibri"/>
        </w:rPr>
      </w:pPr>
      <w:r>
        <w:t xml:space="preserve">Có thể nói, những hạn chế hiện tại trong việc ứng dụng các công nghệ xử lý chất thải chăn nuôi làm phân bón hữu cơ đã và đang gây nên hiện tượng lãng phí kép và ô nhiễm kép trong ngành nông nghiệp: (i) Lãng phí kép là trong khi các chủ trang trại chăn nuôi phải bỏ chi phí rất tốn kém (khoảng 11.000 đồng/ m3) để xử lý nước thải đạt yêu cầu của QCVN 62 xả ra môi trường thì các chủ trang trại trồng trọt lại phải tốn nhiều chi phí để mua phân bón vô cơ về bón cho cây trồng; (ii) Ô nhiễm kép là cả chất thải chăn nuôi không được sử dụng bị xả bỏ và phân bón vô cơ bị rửa trôi xuống nguồn nước đang gây ô nhiễm nghiêm trọng môi trường nông thôn ở nước ta. </w:t>
      </w:r>
    </w:p>
    <w:p w:rsidR="00495942" w:rsidRDefault="00427ADD">
      <w:pPr>
        <w:pStyle w:val="ListParagraph"/>
        <w:spacing w:before="120" w:after="120"/>
        <w:contextualSpacing w:val="0"/>
        <w:jc w:val="both"/>
        <w:rPr>
          <w:rFonts w:eastAsia="Calibri"/>
        </w:rPr>
      </w:pPr>
      <w:r>
        <w:rPr>
          <w:rFonts w:eastAsia="Calibri"/>
        </w:rPr>
        <w:t xml:space="preserve">Xuất phát từ quan điểm coi chất thải chăn nuôi là “nguồn tài nguyên quý giá” cần được xử lý để tạo thu nhập bổ sung cho người dân, qua đó tạo động lực kinh tế để xử lý môi trường bền vững, dự án Hỗ trợ Nông nghiệp Các bon thấp (LCASP) đã nghiên cứu mô hình quản lý toàn diện chất thải chăn nuôi, qua đó, đề xuất hướng đi mới trong xử lý ô nhiễm môi trường chăn nuôi – chuyển đổi từ dựa chủ yếu vào công nghệ khí sinh học sang sử dụng các công nghệ xử lý chất thải rắn làm phân bón hữu cơ và chất thải lỏng làm nguồn nước dinh dưỡng tưới cho cây trồng. </w:t>
      </w:r>
    </w:p>
    <w:p w:rsidR="00495942" w:rsidRDefault="00427ADD">
      <w:pPr>
        <w:pStyle w:val="ListParagraph"/>
        <w:numPr>
          <w:ilvl w:val="0"/>
          <w:numId w:val="1"/>
        </w:numPr>
        <w:spacing w:before="120" w:after="120"/>
        <w:ind w:right="-115"/>
        <w:jc w:val="both"/>
        <w:rPr>
          <w:b/>
          <w:shd w:val="clear" w:color="auto" w:fill="FFFFFF"/>
        </w:rPr>
      </w:pPr>
      <w:r>
        <w:rPr>
          <w:b/>
          <w:shd w:val="clear" w:color="auto" w:fill="FFFFFF"/>
        </w:rPr>
        <w:lastRenderedPageBreak/>
        <w:t>Tiềm năng sản xuất phân bón hữu cơ từ chất thải chăn nuôi</w:t>
      </w:r>
    </w:p>
    <w:p w:rsidR="00495942" w:rsidRDefault="00427ADD">
      <w:pPr>
        <w:ind w:left="360"/>
        <w:jc w:val="both"/>
        <w:rPr>
          <w:lang w:val="it-IT"/>
        </w:rPr>
      </w:pPr>
      <w:r>
        <w:rPr>
          <w:lang w:val="it-IT"/>
        </w:rPr>
        <w:t>Chất thải chăn nuôi được đánh giá là một nguồn tài nguyên rất lớn của nước ta nhưng hiện tại vẫn chưa được sử dụng hiệu quả. Các số liệu thống kê tại Bảng 1 cho thấy với 64 triệu tấn chất thải rắn và 62 triệu mét khối nước tiểu hàng năm, nếu được sử dụng hiệu quả làm phân bón hữu cơ thì có thể giảm được hàng triệu tấn phân bón vô cơ nhập khẩu.</w:t>
      </w:r>
    </w:p>
    <w:p w:rsidR="00495942" w:rsidRDefault="00427ADD">
      <w:pPr>
        <w:spacing w:before="120" w:after="120" w:line="288" w:lineRule="auto"/>
        <w:ind w:firstLine="288"/>
        <w:jc w:val="both"/>
        <w:rPr>
          <w:b/>
          <w:lang w:val="sv-SE"/>
        </w:rPr>
      </w:pPr>
      <w:r>
        <w:rPr>
          <w:b/>
          <w:lang w:val="sv-SE"/>
        </w:rPr>
        <w:t>Bảng 1. Ước tính lượng phân và nước tiểu vật nuôi bài xuất hằng ngày và hằng năm ở Việt Nam năm 2016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992"/>
        <w:gridCol w:w="709"/>
        <w:gridCol w:w="944"/>
        <w:gridCol w:w="1041"/>
        <w:gridCol w:w="1469"/>
        <w:gridCol w:w="904"/>
        <w:gridCol w:w="887"/>
      </w:tblGrid>
      <w:tr w:rsidR="00495942">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b/>
              </w:rPr>
            </w:pPr>
            <w:r>
              <w:rPr>
                <w:b/>
              </w:rPr>
              <w:t>Vật nuôi</w:t>
            </w:r>
          </w:p>
        </w:tc>
        <w:tc>
          <w:tcPr>
            <w:tcW w:w="241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b/>
                <w:lang w:val="sv-SE"/>
              </w:rPr>
            </w:pPr>
            <w:r>
              <w:rPr>
                <w:b/>
              </w:rPr>
              <w:t>Chất thải rắn, kg/con/ngày</w:t>
            </w:r>
          </w:p>
        </w:tc>
        <w:tc>
          <w:tcPr>
            <w:tcW w:w="198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b/>
                <w:lang w:val="sv-SE"/>
              </w:rPr>
            </w:pPr>
            <w:r>
              <w:rPr>
                <w:b/>
                <w:lang w:val="sv-SE"/>
              </w:rPr>
              <w:t>Chất thải lỏng, kg/con/ngày</w:t>
            </w:r>
          </w:p>
        </w:tc>
        <w:tc>
          <w:tcPr>
            <w:tcW w:w="146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b/>
                <w:lang w:val="sv-SE"/>
              </w:rPr>
            </w:pPr>
            <w:r>
              <w:rPr>
                <w:b/>
                <w:lang w:val="sv-SE"/>
              </w:rPr>
              <w:t>Tổng đàn, triệu con (2016)</w:t>
            </w:r>
          </w:p>
        </w:tc>
        <w:tc>
          <w:tcPr>
            <w:tcW w:w="179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b/>
                <w:lang w:val="sv-SE"/>
              </w:rPr>
            </w:pPr>
            <w:r>
              <w:rPr>
                <w:b/>
                <w:lang w:val="sv-SE"/>
              </w:rPr>
              <w:t>Tổng chất thải,</w:t>
            </w:r>
          </w:p>
          <w:p w:rsidR="00495942" w:rsidRDefault="00427ADD">
            <w:pPr>
              <w:spacing w:before="40" w:after="40"/>
              <w:jc w:val="center"/>
              <w:rPr>
                <w:b/>
                <w:lang w:val="sv-SE"/>
              </w:rPr>
            </w:pPr>
            <w:r>
              <w:rPr>
                <w:b/>
                <w:lang w:val="sv-SE"/>
              </w:rPr>
              <w:t>triệu tấn</w:t>
            </w:r>
          </w:p>
        </w:tc>
      </w:tr>
      <w:tr w:rsidR="00495942">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rPr>
                <w:lang w:val="sv-SE"/>
              </w:rPr>
            </w:pP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pPr>
            <w:r>
              <w:t>(1)</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lang w:val="sv-SE"/>
              </w:rPr>
            </w:pPr>
            <w:r>
              <w:rPr>
                <w:lang w:val="sv-SE"/>
              </w:rPr>
              <w:t>(2)</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lang w:val="sv-SE"/>
              </w:rPr>
            </w:pPr>
            <w:r>
              <w:rPr>
                <w:lang w:val="sv-SE"/>
              </w:rPr>
              <w:t>(3)</w:t>
            </w:r>
          </w:p>
        </w:tc>
        <w:tc>
          <w:tcPr>
            <w:tcW w:w="94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lang w:val="sv-SE"/>
              </w:rPr>
            </w:pPr>
            <w:r>
              <w:rPr>
                <w:lang w:val="sv-SE"/>
              </w:rPr>
              <w:t>(2)</w:t>
            </w:r>
          </w:p>
        </w:tc>
        <w:tc>
          <w:tcPr>
            <w:tcW w:w="1041"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lang w:val="sv-SE"/>
              </w:rPr>
            </w:pPr>
            <w:r>
              <w:rPr>
                <w:lang w:val="sv-SE"/>
              </w:rPr>
              <w:t>(3)</w:t>
            </w:r>
          </w:p>
        </w:tc>
        <w:tc>
          <w:tcPr>
            <w:tcW w:w="1469" w:type="dxa"/>
            <w:vMerge/>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rPr>
                <w:lang w:val="sv-SE"/>
              </w:rPr>
            </w:pPr>
          </w:p>
        </w:tc>
        <w:tc>
          <w:tcPr>
            <w:tcW w:w="90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lang w:val="sv-SE"/>
              </w:rPr>
            </w:pPr>
            <w:r>
              <w:rPr>
                <w:lang w:val="sv-SE"/>
              </w:rPr>
              <w:t>Rắn</w:t>
            </w:r>
          </w:p>
        </w:tc>
        <w:tc>
          <w:tcPr>
            <w:tcW w:w="88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rPr>
                <w:lang w:val="sv-SE"/>
              </w:rPr>
            </w:pPr>
            <w:r>
              <w:rPr>
                <w:lang w:val="sv-SE"/>
              </w:rPr>
              <w:t>Lỏng</w:t>
            </w:r>
          </w:p>
        </w:tc>
      </w:tr>
      <w:tr w:rsidR="00495942">
        <w:tc>
          <w:tcPr>
            <w:tcW w:w="113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both"/>
            </w:pPr>
            <w:r>
              <w:t>Lợn</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pPr>
            <w:r>
              <w:t>2,5</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1,2-3,0</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2,3</w:t>
            </w:r>
          </w:p>
        </w:tc>
        <w:tc>
          <w:tcPr>
            <w:tcW w:w="94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4-6</w:t>
            </w:r>
          </w:p>
        </w:tc>
        <w:tc>
          <w:tcPr>
            <w:tcW w:w="1041"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3,5</w:t>
            </w:r>
          </w:p>
        </w:tc>
        <w:tc>
          <w:tcPr>
            <w:tcW w:w="146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29,0</w:t>
            </w:r>
          </w:p>
        </w:tc>
        <w:tc>
          <w:tcPr>
            <w:tcW w:w="90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26,53</w:t>
            </w:r>
          </w:p>
        </w:tc>
        <w:tc>
          <w:tcPr>
            <w:tcW w:w="887"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37,14</w:t>
            </w:r>
          </w:p>
        </w:tc>
      </w:tr>
      <w:tr w:rsidR="00495942">
        <w:tc>
          <w:tcPr>
            <w:tcW w:w="113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both"/>
            </w:pPr>
            <w:r>
              <w:t>Gia cầm</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pPr>
            <w:r>
              <w:t>0,02</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0,02-0,05</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lang w:val="sv-SE"/>
              </w:rPr>
            </w:pPr>
          </w:p>
        </w:tc>
        <w:tc>
          <w:tcPr>
            <w:tcW w:w="94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w:t>
            </w:r>
          </w:p>
        </w:tc>
        <w:tc>
          <w:tcPr>
            <w:tcW w:w="1041"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lang w:val="sv-SE"/>
              </w:rPr>
            </w:pPr>
          </w:p>
        </w:tc>
        <w:tc>
          <w:tcPr>
            <w:tcW w:w="146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361,7</w:t>
            </w:r>
          </w:p>
        </w:tc>
        <w:tc>
          <w:tcPr>
            <w:tcW w:w="90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2,64</w:t>
            </w:r>
          </w:p>
        </w:tc>
        <w:tc>
          <w:tcPr>
            <w:tcW w:w="887"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w:t>
            </w:r>
          </w:p>
        </w:tc>
      </w:tr>
      <w:tr w:rsidR="00495942">
        <w:tc>
          <w:tcPr>
            <w:tcW w:w="113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both"/>
            </w:pPr>
            <w:r>
              <w:t>Bò</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pPr>
            <w:r>
              <w:t>10,0</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15-20</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lang w:val="sv-SE"/>
              </w:rPr>
            </w:pPr>
          </w:p>
        </w:tc>
        <w:tc>
          <w:tcPr>
            <w:tcW w:w="94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6-10</w:t>
            </w:r>
          </w:p>
        </w:tc>
        <w:tc>
          <w:tcPr>
            <w:tcW w:w="1041"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lang w:val="sv-SE"/>
              </w:rPr>
            </w:pPr>
          </w:p>
        </w:tc>
        <w:tc>
          <w:tcPr>
            <w:tcW w:w="146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5,5</w:t>
            </w:r>
          </w:p>
        </w:tc>
        <w:tc>
          <w:tcPr>
            <w:tcW w:w="90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20,06</w:t>
            </w:r>
          </w:p>
        </w:tc>
        <w:tc>
          <w:tcPr>
            <w:tcW w:w="887"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16,05</w:t>
            </w:r>
          </w:p>
        </w:tc>
      </w:tr>
      <w:tr w:rsidR="00495942">
        <w:tc>
          <w:tcPr>
            <w:tcW w:w="113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both"/>
            </w:pPr>
            <w:r>
              <w:t>Trâu</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pPr>
            <w:r>
              <w:t>15,0</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18-25</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lang w:val="sv-SE"/>
              </w:rPr>
            </w:pPr>
          </w:p>
        </w:tc>
        <w:tc>
          <w:tcPr>
            <w:tcW w:w="94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8-12</w:t>
            </w:r>
          </w:p>
        </w:tc>
        <w:tc>
          <w:tcPr>
            <w:tcW w:w="1041"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lang w:val="sv-SE"/>
              </w:rPr>
            </w:pPr>
          </w:p>
        </w:tc>
        <w:tc>
          <w:tcPr>
            <w:tcW w:w="146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2,5</w:t>
            </w:r>
          </w:p>
        </w:tc>
        <w:tc>
          <w:tcPr>
            <w:tcW w:w="90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13,71</w:t>
            </w:r>
          </w:p>
        </w:tc>
        <w:tc>
          <w:tcPr>
            <w:tcW w:w="887"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9,19</w:t>
            </w:r>
          </w:p>
        </w:tc>
      </w:tr>
      <w:tr w:rsidR="00495942">
        <w:tc>
          <w:tcPr>
            <w:tcW w:w="113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both"/>
            </w:pPr>
            <w:r>
              <w:t>Dê, cừu</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pPr>
            <w:r>
              <w:t>1,5</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1,5-2,5</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lang w:val="sv-SE"/>
              </w:rPr>
            </w:pPr>
          </w:p>
        </w:tc>
        <w:tc>
          <w:tcPr>
            <w:tcW w:w="94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0,6-1,0</w:t>
            </w:r>
          </w:p>
        </w:tc>
        <w:tc>
          <w:tcPr>
            <w:tcW w:w="1041"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lang w:val="sv-SE"/>
              </w:rPr>
            </w:pPr>
          </w:p>
        </w:tc>
        <w:tc>
          <w:tcPr>
            <w:tcW w:w="1469"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2,0</w:t>
            </w:r>
          </w:p>
        </w:tc>
        <w:tc>
          <w:tcPr>
            <w:tcW w:w="90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tabs>
                <w:tab w:val="left" w:pos="415"/>
                <w:tab w:val="center" w:pos="477"/>
              </w:tabs>
              <w:spacing w:before="40" w:after="40"/>
              <w:jc w:val="center"/>
              <w:rPr>
                <w:lang w:val="sv-SE"/>
              </w:rPr>
            </w:pPr>
            <w:r>
              <w:rPr>
                <w:lang w:val="sv-SE"/>
              </w:rPr>
              <w:t>1,10</w:t>
            </w:r>
          </w:p>
        </w:tc>
        <w:tc>
          <w:tcPr>
            <w:tcW w:w="887"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lang w:val="sv-SE"/>
              </w:rPr>
            </w:pPr>
            <w:r>
              <w:rPr>
                <w:lang w:val="sv-SE"/>
              </w:rPr>
              <w:t>0,6</w:t>
            </w:r>
          </w:p>
        </w:tc>
      </w:tr>
      <w:tr w:rsidR="00495942">
        <w:tc>
          <w:tcPr>
            <w:tcW w:w="113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both"/>
              <w:rPr>
                <w:b/>
              </w:rPr>
            </w:pPr>
            <w:r>
              <w:rPr>
                <w:b/>
              </w:rPr>
              <w:t>Tổng</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b/>
              </w:rPr>
            </w:pP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b/>
                <w:lang w:val="sv-SE"/>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b/>
                <w:lang w:val="sv-SE"/>
              </w:rPr>
            </w:pPr>
          </w:p>
        </w:tc>
        <w:tc>
          <w:tcPr>
            <w:tcW w:w="944"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b/>
                <w:lang w:val="sv-SE"/>
              </w:rPr>
            </w:pPr>
          </w:p>
        </w:tc>
        <w:tc>
          <w:tcPr>
            <w:tcW w:w="1041"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b/>
                <w:lang w:val="sv-SE"/>
              </w:rPr>
            </w:pPr>
          </w:p>
        </w:tc>
        <w:tc>
          <w:tcPr>
            <w:tcW w:w="1469" w:type="dxa"/>
            <w:tcBorders>
              <w:top w:val="single" w:sz="8" w:space="0" w:color="auto"/>
              <w:left w:val="single" w:sz="8" w:space="0" w:color="auto"/>
              <w:bottom w:val="single" w:sz="8" w:space="0" w:color="auto"/>
              <w:right w:val="single" w:sz="8" w:space="0" w:color="auto"/>
            </w:tcBorders>
            <w:shd w:val="clear" w:color="auto" w:fill="auto"/>
          </w:tcPr>
          <w:p w:rsidR="00495942" w:rsidRDefault="00495942">
            <w:pPr>
              <w:spacing w:before="40" w:after="40"/>
              <w:jc w:val="center"/>
              <w:rPr>
                <w:b/>
                <w:lang w:val="sv-SE"/>
              </w:rPr>
            </w:pPr>
          </w:p>
        </w:tc>
        <w:tc>
          <w:tcPr>
            <w:tcW w:w="904"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b/>
                <w:lang w:val="sv-SE"/>
              </w:rPr>
            </w:pPr>
            <w:r>
              <w:rPr>
                <w:b/>
                <w:lang w:val="sv-SE"/>
              </w:rPr>
              <w:t>64,04</w:t>
            </w:r>
          </w:p>
        </w:tc>
        <w:tc>
          <w:tcPr>
            <w:tcW w:w="887" w:type="dxa"/>
            <w:tcBorders>
              <w:top w:val="single" w:sz="8" w:space="0" w:color="auto"/>
              <w:left w:val="single" w:sz="8" w:space="0" w:color="auto"/>
              <w:bottom w:val="single" w:sz="8" w:space="0" w:color="auto"/>
              <w:right w:val="single" w:sz="8" w:space="0" w:color="auto"/>
            </w:tcBorders>
            <w:shd w:val="clear" w:color="auto" w:fill="auto"/>
          </w:tcPr>
          <w:p w:rsidR="00495942" w:rsidRDefault="00427ADD">
            <w:pPr>
              <w:spacing w:before="40" w:after="40"/>
              <w:jc w:val="center"/>
              <w:rPr>
                <w:b/>
                <w:lang w:val="sv-SE"/>
              </w:rPr>
            </w:pPr>
            <w:r>
              <w:rPr>
                <w:b/>
                <w:lang w:val="sv-SE"/>
              </w:rPr>
              <w:t>62,98</w:t>
            </w:r>
          </w:p>
        </w:tc>
      </w:tr>
    </w:tbl>
    <w:p w:rsidR="00495942" w:rsidRDefault="00427ADD">
      <w:pPr>
        <w:spacing w:before="60" w:line="288" w:lineRule="auto"/>
        <w:ind w:firstLine="284"/>
        <w:jc w:val="both"/>
        <w:rPr>
          <w:i/>
          <w:sz w:val="16"/>
          <w:szCs w:val="16"/>
        </w:rPr>
      </w:pPr>
      <w:r>
        <w:rPr>
          <w:i/>
          <w:sz w:val="16"/>
          <w:szCs w:val="16"/>
          <w:vertAlign w:val="superscript"/>
          <w:lang w:val="sv-SE"/>
        </w:rPr>
        <w:t>(1)</w:t>
      </w:r>
      <w:r>
        <w:rPr>
          <w:i/>
          <w:sz w:val="16"/>
          <w:szCs w:val="16"/>
          <w:lang w:val="sv-SE"/>
        </w:rPr>
        <w:t xml:space="preserve">: Tổng Xuân Chinh, 2015; (2): Vũ Chí Cương; (3) </w:t>
      </w:r>
      <w:r>
        <w:rPr>
          <w:i/>
          <w:sz w:val="16"/>
          <w:szCs w:val="16"/>
        </w:rPr>
        <w:t>Elena Forbes</w:t>
      </w:r>
    </w:p>
    <w:p w:rsidR="00495942" w:rsidRDefault="00427ADD">
      <w:pPr>
        <w:spacing w:before="120" w:after="120"/>
        <w:ind w:left="360"/>
        <w:jc w:val="both"/>
      </w:pPr>
      <w:r>
        <w:rPr>
          <w:rStyle w:val="Emphasis"/>
          <w:i w:val="0"/>
          <w:lang w:val="it-IT"/>
        </w:rPr>
        <w:t>Theo IAEA (2008),</w:t>
      </w:r>
      <w:r>
        <w:rPr>
          <w:rStyle w:val="Emphasis"/>
          <w:lang w:val="it-IT"/>
        </w:rPr>
        <w:t xml:space="preserve"> </w:t>
      </w:r>
      <w:r>
        <w:rPr>
          <w:lang w:val="vi-VN"/>
        </w:rPr>
        <w:t xml:space="preserve">thành phần các chất dinh dưỡng trong phân phụ thuộc vào loại gia súc, </w:t>
      </w:r>
      <w:r>
        <w:rPr>
          <w:lang w:val="it-IT"/>
        </w:rPr>
        <w:t>biến động</w:t>
      </w:r>
      <w:r>
        <w:rPr>
          <w:lang w:val="vi-VN"/>
        </w:rPr>
        <w:t xml:space="preserve"> như sau</w:t>
      </w:r>
      <w:r>
        <w:rPr>
          <w:lang w:val="it-IT"/>
        </w:rPr>
        <w:t xml:space="preserve"> (so chất khô)</w:t>
      </w:r>
      <w:r>
        <w:rPr>
          <w:lang w:val="vi-VN"/>
        </w:rPr>
        <w:t>: hàm lượng c</w:t>
      </w:r>
      <w:r>
        <w:rPr>
          <w:lang w:val="it-IT"/>
        </w:rPr>
        <w:t xml:space="preserve">ác </w:t>
      </w:r>
      <w:r>
        <w:rPr>
          <w:lang w:val="vi-VN"/>
        </w:rPr>
        <w:t>bon</w:t>
      </w:r>
      <w:r>
        <w:rPr>
          <w:lang w:val="it-IT"/>
        </w:rPr>
        <w:t xml:space="preserve">: </w:t>
      </w:r>
      <w:r>
        <w:rPr>
          <w:lang w:val="vi-VN"/>
        </w:rPr>
        <w:t>24</w:t>
      </w:r>
      <w:r>
        <w:rPr>
          <w:lang w:val="it-IT"/>
        </w:rPr>
        <w:t>,</w:t>
      </w:r>
      <w:r>
        <w:rPr>
          <w:lang w:val="vi-VN"/>
        </w:rPr>
        <w:t xml:space="preserve">7 </w:t>
      </w:r>
      <w:r>
        <w:rPr>
          <w:lang w:val="it-IT"/>
        </w:rPr>
        <w:t>-</w:t>
      </w:r>
      <w:r>
        <w:rPr>
          <w:lang w:val="vi-VN"/>
        </w:rPr>
        <w:t xml:space="preserve"> 44</w:t>
      </w:r>
      <w:r>
        <w:rPr>
          <w:lang w:val="it-IT"/>
        </w:rPr>
        <w:t>,</w:t>
      </w:r>
      <w:r>
        <w:rPr>
          <w:lang w:val="vi-VN"/>
        </w:rPr>
        <w:t>9</w:t>
      </w:r>
      <w:r>
        <w:rPr>
          <w:lang w:val="it-IT"/>
        </w:rPr>
        <w:t>%</w:t>
      </w:r>
      <w:r>
        <w:rPr>
          <w:lang w:val="vi-VN"/>
        </w:rPr>
        <w:t xml:space="preserve">, </w:t>
      </w:r>
      <w:r>
        <w:rPr>
          <w:lang w:val="it-IT"/>
        </w:rPr>
        <w:t>N</w:t>
      </w:r>
      <w:r>
        <w:rPr>
          <w:lang w:val="vi-VN"/>
        </w:rPr>
        <w:t xml:space="preserve"> tổng số</w:t>
      </w:r>
      <w:r>
        <w:rPr>
          <w:lang w:val="it-IT"/>
        </w:rPr>
        <w:t xml:space="preserve">: </w:t>
      </w:r>
      <w:r>
        <w:rPr>
          <w:lang w:val="vi-VN"/>
        </w:rPr>
        <w:t>2</w:t>
      </w:r>
      <w:r>
        <w:rPr>
          <w:lang w:val="it-IT"/>
        </w:rPr>
        <w:t>,</w:t>
      </w:r>
      <w:r>
        <w:rPr>
          <w:lang w:val="vi-VN"/>
        </w:rPr>
        <w:t>5</w:t>
      </w:r>
      <w:r>
        <w:rPr>
          <w:lang w:val="it-IT"/>
        </w:rPr>
        <w:t>%</w:t>
      </w:r>
      <w:r>
        <w:rPr>
          <w:lang w:val="vi-VN"/>
        </w:rPr>
        <w:t xml:space="preserve">, </w:t>
      </w:r>
      <w:r>
        <w:rPr>
          <w:lang w:val="it-IT"/>
        </w:rPr>
        <w:t>P</w:t>
      </w:r>
      <w:r>
        <w:rPr>
          <w:vertAlign w:val="subscript"/>
          <w:lang w:val="it-IT"/>
        </w:rPr>
        <w:t>2</w:t>
      </w:r>
      <w:r>
        <w:rPr>
          <w:lang w:val="it-IT"/>
        </w:rPr>
        <w:t>O</w:t>
      </w:r>
      <w:r>
        <w:rPr>
          <w:vertAlign w:val="subscript"/>
          <w:lang w:val="it-IT"/>
        </w:rPr>
        <w:t>5</w:t>
      </w:r>
      <w:r>
        <w:rPr>
          <w:lang w:val="vi-VN"/>
        </w:rPr>
        <w:t xml:space="preserve"> tổng số từ </w:t>
      </w:r>
      <w:r>
        <w:rPr>
          <w:lang w:val="it-IT"/>
        </w:rPr>
        <w:t>0,</w:t>
      </w:r>
      <w:r>
        <w:rPr>
          <w:lang w:val="vi-VN"/>
        </w:rPr>
        <w:t xml:space="preserve">32 đến </w:t>
      </w:r>
      <w:r>
        <w:rPr>
          <w:lang w:val="it-IT"/>
        </w:rPr>
        <w:t>0,</w:t>
      </w:r>
      <w:r>
        <w:rPr>
          <w:lang w:val="vi-VN"/>
        </w:rPr>
        <w:t>77</w:t>
      </w:r>
      <w:r>
        <w:rPr>
          <w:lang w:val="it-IT"/>
        </w:rPr>
        <w:t>%</w:t>
      </w:r>
      <w:r>
        <w:rPr>
          <w:lang w:val="vi-VN"/>
        </w:rPr>
        <w:t xml:space="preserve">, </w:t>
      </w:r>
      <w:r>
        <w:rPr>
          <w:lang w:val="it-IT"/>
        </w:rPr>
        <w:t>K</w:t>
      </w:r>
      <w:r>
        <w:rPr>
          <w:vertAlign w:val="subscript"/>
          <w:lang w:val="it-IT"/>
        </w:rPr>
        <w:t>2</w:t>
      </w:r>
      <w:r>
        <w:rPr>
          <w:lang w:val="it-IT"/>
        </w:rPr>
        <w:t>O</w:t>
      </w:r>
      <w:r>
        <w:rPr>
          <w:lang w:val="vi-VN"/>
        </w:rPr>
        <w:t xml:space="preserve"> tổng số trong khoảng từ 1</w:t>
      </w:r>
      <w:r>
        <w:rPr>
          <w:lang w:val="it-IT"/>
        </w:rPr>
        <w:t>,</w:t>
      </w:r>
      <w:r>
        <w:rPr>
          <w:lang w:val="vi-VN"/>
        </w:rPr>
        <w:t>15 đến 5</w:t>
      </w:r>
      <w:r>
        <w:rPr>
          <w:lang w:val="it-IT"/>
        </w:rPr>
        <w:t>,</w:t>
      </w:r>
      <w:r>
        <w:rPr>
          <w:lang w:val="vi-VN"/>
        </w:rPr>
        <w:t>41</w:t>
      </w:r>
      <w:r>
        <w:rPr>
          <w:lang w:val="it-IT"/>
        </w:rPr>
        <w:t>%</w:t>
      </w:r>
      <w:r>
        <w:rPr>
          <w:lang w:val="vi-VN"/>
        </w:rPr>
        <w:t xml:space="preserve"> (Negro et al, 1995). Còn theo số liệu của Trung tâm thông tin Nông nghiệp Đan Mạch (Jenni, 2009), các phân tích tiến hành trong giai đoạn 1999 - 2001, cho thấy thành phần và tính chất của một số loại phân gia súc ở Đan Mạch như sau:</w:t>
      </w:r>
    </w:p>
    <w:p w:rsidR="00495942" w:rsidRDefault="00427ADD">
      <w:pPr>
        <w:ind w:left="360"/>
        <w:jc w:val="both"/>
        <w:rPr>
          <w:rStyle w:val="Emphasis"/>
          <w:b/>
          <w:i w:val="0"/>
        </w:rPr>
      </w:pPr>
      <w:r>
        <w:rPr>
          <w:rStyle w:val="Emphasis"/>
          <w:b/>
          <w:i w:val="0"/>
          <w:lang w:val="vi-VN"/>
        </w:rPr>
        <w:t xml:space="preserve">Bảng </w:t>
      </w:r>
      <w:r>
        <w:rPr>
          <w:rStyle w:val="Emphasis"/>
          <w:b/>
          <w:i w:val="0"/>
        </w:rPr>
        <w:t>2</w:t>
      </w:r>
      <w:r>
        <w:rPr>
          <w:rStyle w:val="Emphasis"/>
          <w:b/>
          <w:i w:val="0"/>
          <w:lang w:val="vi-VN"/>
        </w:rPr>
        <w:t>. Thành phần hóa học chất thải chăn nuôi</w:t>
      </w:r>
    </w:p>
    <w:p w:rsidR="00495942" w:rsidRDefault="00495942">
      <w:pPr>
        <w:ind w:left="360"/>
        <w:jc w:val="both"/>
        <w:rPr>
          <w:rStyle w:val="Emphasis"/>
          <w:b/>
          <w:i w:val="0"/>
        </w:rPr>
      </w:pPr>
    </w:p>
    <w:tbl>
      <w:tblPr>
        <w:tblStyle w:val="TableGrid"/>
        <w:tblW w:w="0" w:type="auto"/>
        <w:tblInd w:w="108" w:type="dxa"/>
        <w:tblLayout w:type="fixed"/>
        <w:tblLook w:val="04A0" w:firstRow="1" w:lastRow="0" w:firstColumn="1" w:lastColumn="0" w:noHBand="0" w:noVBand="1"/>
      </w:tblPr>
      <w:tblGrid>
        <w:gridCol w:w="567"/>
        <w:gridCol w:w="2127"/>
        <w:gridCol w:w="1275"/>
        <w:gridCol w:w="851"/>
        <w:gridCol w:w="992"/>
        <w:gridCol w:w="920"/>
        <w:gridCol w:w="1206"/>
        <w:gridCol w:w="956"/>
      </w:tblGrid>
      <w:tr w:rsidR="00495942">
        <w:tc>
          <w:tcPr>
            <w:tcW w:w="567" w:type="dxa"/>
            <w:vMerge w:val="restart"/>
          </w:tcPr>
          <w:p w:rsidR="00495942" w:rsidRDefault="00427ADD">
            <w:pPr>
              <w:jc w:val="both"/>
              <w:rPr>
                <w:rStyle w:val="Emphasis"/>
                <w:b/>
                <w:i w:val="0"/>
              </w:rPr>
            </w:pPr>
            <w:r>
              <w:rPr>
                <w:rStyle w:val="Emphasis"/>
                <w:b/>
                <w:i w:val="0"/>
              </w:rPr>
              <w:t>Stt</w:t>
            </w:r>
          </w:p>
        </w:tc>
        <w:tc>
          <w:tcPr>
            <w:tcW w:w="2127" w:type="dxa"/>
            <w:vMerge w:val="restart"/>
          </w:tcPr>
          <w:p w:rsidR="00495942" w:rsidRDefault="00427ADD">
            <w:pPr>
              <w:jc w:val="both"/>
              <w:rPr>
                <w:rStyle w:val="Emphasis"/>
                <w:b/>
                <w:i w:val="0"/>
              </w:rPr>
            </w:pPr>
            <w:r>
              <w:rPr>
                <w:rStyle w:val="Emphasis"/>
                <w:b/>
                <w:i w:val="0"/>
              </w:rPr>
              <w:t>Loại chất thải</w:t>
            </w:r>
          </w:p>
        </w:tc>
        <w:tc>
          <w:tcPr>
            <w:tcW w:w="6200" w:type="dxa"/>
            <w:gridSpan w:val="6"/>
          </w:tcPr>
          <w:p w:rsidR="00495942" w:rsidRDefault="00427ADD">
            <w:pPr>
              <w:jc w:val="center"/>
              <w:rPr>
                <w:rStyle w:val="Emphasis"/>
                <w:b/>
                <w:i w:val="0"/>
              </w:rPr>
            </w:pPr>
            <w:r>
              <w:rPr>
                <w:rStyle w:val="Emphasis"/>
                <w:b/>
                <w:i w:val="0"/>
              </w:rPr>
              <w:t>Hàm lượng dinh dưỡng (%)</w:t>
            </w:r>
          </w:p>
        </w:tc>
      </w:tr>
      <w:tr w:rsidR="00495942">
        <w:tc>
          <w:tcPr>
            <w:tcW w:w="567" w:type="dxa"/>
            <w:vMerge/>
          </w:tcPr>
          <w:p w:rsidR="00495942" w:rsidRDefault="00495942">
            <w:pPr>
              <w:jc w:val="both"/>
              <w:rPr>
                <w:rStyle w:val="Emphasis"/>
                <w:b/>
              </w:rPr>
            </w:pPr>
          </w:p>
        </w:tc>
        <w:tc>
          <w:tcPr>
            <w:tcW w:w="2127" w:type="dxa"/>
            <w:vMerge/>
          </w:tcPr>
          <w:p w:rsidR="00495942" w:rsidRDefault="00495942">
            <w:pPr>
              <w:jc w:val="both"/>
              <w:rPr>
                <w:rStyle w:val="Emphasis"/>
                <w:b/>
                <w:i w:val="0"/>
              </w:rPr>
            </w:pPr>
          </w:p>
        </w:tc>
        <w:tc>
          <w:tcPr>
            <w:tcW w:w="1275" w:type="dxa"/>
          </w:tcPr>
          <w:p w:rsidR="00495942" w:rsidRDefault="00427ADD">
            <w:pPr>
              <w:jc w:val="center"/>
              <w:rPr>
                <w:rStyle w:val="Emphasis"/>
                <w:b/>
                <w:i w:val="0"/>
              </w:rPr>
            </w:pPr>
            <w:r>
              <w:rPr>
                <w:rStyle w:val="Emphasis"/>
                <w:b/>
                <w:i w:val="0"/>
              </w:rPr>
              <w:t>Chất khô</w:t>
            </w:r>
          </w:p>
        </w:tc>
        <w:tc>
          <w:tcPr>
            <w:tcW w:w="851" w:type="dxa"/>
          </w:tcPr>
          <w:p w:rsidR="00495942" w:rsidRDefault="00427ADD">
            <w:pPr>
              <w:jc w:val="center"/>
              <w:rPr>
                <w:rStyle w:val="Emphasis"/>
                <w:b/>
                <w:i w:val="0"/>
              </w:rPr>
            </w:pPr>
            <w:r>
              <w:rPr>
                <w:rStyle w:val="Emphasis"/>
                <w:b/>
                <w:i w:val="0"/>
              </w:rPr>
              <w:t>N-ts</w:t>
            </w:r>
          </w:p>
        </w:tc>
        <w:tc>
          <w:tcPr>
            <w:tcW w:w="992" w:type="dxa"/>
          </w:tcPr>
          <w:p w:rsidR="00495942" w:rsidRDefault="00427ADD">
            <w:pPr>
              <w:jc w:val="center"/>
              <w:rPr>
                <w:rStyle w:val="Emphasis"/>
                <w:b/>
                <w:i w:val="0"/>
              </w:rPr>
            </w:pPr>
            <w:r>
              <w:rPr>
                <w:rStyle w:val="Emphasis"/>
                <w:b/>
                <w:i w:val="0"/>
              </w:rPr>
              <w:t>N–NH4</w:t>
            </w:r>
          </w:p>
        </w:tc>
        <w:tc>
          <w:tcPr>
            <w:tcW w:w="920" w:type="dxa"/>
          </w:tcPr>
          <w:p w:rsidR="00495942" w:rsidRDefault="00427ADD">
            <w:pPr>
              <w:jc w:val="center"/>
              <w:rPr>
                <w:rStyle w:val="Emphasis"/>
                <w:b/>
                <w:i w:val="0"/>
              </w:rPr>
            </w:pPr>
            <w:r>
              <w:rPr>
                <w:rStyle w:val="Emphasis"/>
                <w:b/>
                <w:i w:val="0"/>
              </w:rPr>
              <w:t>P</w:t>
            </w:r>
          </w:p>
        </w:tc>
        <w:tc>
          <w:tcPr>
            <w:tcW w:w="1206" w:type="dxa"/>
          </w:tcPr>
          <w:p w:rsidR="00495942" w:rsidRDefault="00427ADD">
            <w:pPr>
              <w:jc w:val="center"/>
              <w:rPr>
                <w:rStyle w:val="Emphasis"/>
                <w:b/>
                <w:i w:val="0"/>
              </w:rPr>
            </w:pPr>
            <w:r>
              <w:rPr>
                <w:rStyle w:val="Emphasis"/>
                <w:b/>
                <w:i w:val="0"/>
              </w:rPr>
              <w:t>K</w:t>
            </w:r>
          </w:p>
        </w:tc>
        <w:tc>
          <w:tcPr>
            <w:tcW w:w="956" w:type="dxa"/>
          </w:tcPr>
          <w:p w:rsidR="00495942" w:rsidRDefault="00427ADD">
            <w:pPr>
              <w:jc w:val="center"/>
              <w:rPr>
                <w:rStyle w:val="Emphasis"/>
                <w:b/>
                <w:i w:val="0"/>
              </w:rPr>
            </w:pPr>
            <w:r>
              <w:rPr>
                <w:rStyle w:val="Emphasis"/>
                <w:b/>
                <w:i w:val="0"/>
              </w:rPr>
              <w:t>Mg</w:t>
            </w:r>
          </w:p>
        </w:tc>
      </w:tr>
      <w:tr w:rsidR="00495942">
        <w:tc>
          <w:tcPr>
            <w:tcW w:w="567" w:type="dxa"/>
          </w:tcPr>
          <w:p w:rsidR="00495942" w:rsidRDefault="00427ADD">
            <w:pPr>
              <w:jc w:val="center"/>
              <w:rPr>
                <w:rStyle w:val="Emphasis"/>
                <w:i w:val="0"/>
              </w:rPr>
            </w:pPr>
            <w:r>
              <w:rPr>
                <w:rStyle w:val="Emphasis"/>
                <w:i w:val="0"/>
              </w:rPr>
              <w:t>01</w:t>
            </w:r>
          </w:p>
        </w:tc>
        <w:tc>
          <w:tcPr>
            <w:tcW w:w="2127" w:type="dxa"/>
          </w:tcPr>
          <w:p w:rsidR="00495942" w:rsidRDefault="00427ADD">
            <w:pPr>
              <w:jc w:val="both"/>
              <w:rPr>
                <w:rStyle w:val="Emphasis"/>
                <w:b/>
                <w:i w:val="0"/>
              </w:rPr>
            </w:pPr>
            <w:r>
              <w:rPr>
                <w:rStyle w:val="Emphasis"/>
                <w:i w:val="0"/>
              </w:rPr>
              <w:t>Lợn nái nuôi con (gồm cả lợn con)</w:t>
            </w:r>
          </w:p>
        </w:tc>
        <w:tc>
          <w:tcPr>
            <w:tcW w:w="1275" w:type="dxa"/>
          </w:tcPr>
          <w:p w:rsidR="00495942" w:rsidRDefault="00427ADD">
            <w:pPr>
              <w:jc w:val="center"/>
              <w:rPr>
                <w:rStyle w:val="Emphasis"/>
                <w:b/>
                <w:i w:val="0"/>
              </w:rPr>
            </w:pPr>
            <w:r>
              <w:rPr>
                <w:rStyle w:val="Emphasis"/>
                <w:i w:val="0"/>
              </w:rPr>
              <w:t>5,0</w:t>
            </w:r>
          </w:p>
        </w:tc>
        <w:tc>
          <w:tcPr>
            <w:tcW w:w="851" w:type="dxa"/>
          </w:tcPr>
          <w:p w:rsidR="00495942" w:rsidRDefault="00427ADD">
            <w:pPr>
              <w:jc w:val="center"/>
              <w:rPr>
                <w:rStyle w:val="Emphasis"/>
                <w:b/>
                <w:i w:val="0"/>
              </w:rPr>
            </w:pPr>
            <w:r>
              <w:rPr>
                <w:rStyle w:val="Emphasis"/>
                <w:i w:val="0"/>
              </w:rPr>
              <w:t>0,42</w:t>
            </w:r>
          </w:p>
        </w:tc>
        <w:tc>
          <w:tcPr>
            <w:tcW w:w="992" w:type="dxa"/>
          </w:tcPr>
          <w:p w:rsidR="00495942" w:rsidRDefault="00427ADD">
            <w:pPr>
              <w:jc w:val="center"/>
              <w:rPr>
                <w:rStyle w:val="Emphasis"/>
                <w:b/>
                <w:i w:val="0"/>
              </w:rPr>
            </w:pPr>
            <w:r>
              <w:rPr>
                <w:rStyle w:val="Emphasis"/>
                <w:i w:val="0"/>
              </w:rPr>
              <w:t>0,25</w:t>
            </w:r>
          </w:p>
        </w:tc>
        <w:tc>
          <w:tcPr>
            <w:tcW w:w="920" w:type="dxa"/>
          </w:tcPr>
          <w:p w:rsidR="00495942" w:rsidRDefault="00427ADD">
            <w:pPr>
              <w:jc w:val="center"/>
              <w:rPr>
                <w:rStyle w:val="Emphasis"/>
                <w:b/>
                <w:i w:val="0"/>
              </w:rPr>
            </w:pPr>
            <w:r>
              <w:rPr>
                <w:rStyle w:val="Emphasis"/>
                <w:i w:val="0"/>
              </w:rPr>
              <w:t>0,13</w:t>
            </w:r>
          </w:p>
        </w:tc>
        <w:tc>
          <w:tcPr>
            <w:tcW w:w="1206" w:type="dxa"/>
          </w:tcPr>
          <w:p w:rsidR="00495942" w:rsidRDefault="00427ADD">
            <w:pPr>
              <w:jc w:val="center"/>
              <w:rPr>
                <w:rStyle w:val="Emphasis"/>
                <w:b/>
                <w:i w:val="0"/>
              </w:rPr>
            </w:pPr>
            <w:r>
              <w:rPr>
                <w:rStyle w:val="Emphasis"/>
                <w:i w:val="0"/>
              </w:rPr>
              <w:t>0,36</w:t>
            </w:r>
          </w:p>
        </w:tc>
        <w:tc>
          <w:tcPr>
            <w:tcW w:w="956" w:type="dxa"/>
          </w:tcPr>
          <w:p w:rsidR="00495942" w:rsidRDefault="00427ADD">
            <w:pPr>
              <w:jc w:val="center"/>
              <w:rPr>
                <w:rStyle w:val="Emphasis"/>
                <w:b/>
                <w:i w:val="0"/>
              </w:rPr>
            </w:pPr>
            <w:r>
              <w:rPr>
                <w:rStyle w:val="Emphasis"/>
                <w:i w:val="0"/>
              </w:rPr>
              <w:t>0,066</w:t>
            </w:r>
          </w:p>
        </w:tc>
      </w:tr>
      <w:tr w:rsidR="00495942">
        <w:tc>
          <w:tcPr>
            <w:tcW w:w="567" w:type="dxa"/>
          </w:tcPr>
          <w:p w:rsidR="00495942" w:rsidRDefault="00427ADD">
            <w:pPr>
              <w:jc w:val="center"/>
              <w:rPr>
                <w:rStyle w:val="Emphasis"/>
                <w:i w:val="0"/>
              </w:rPr>
            </w:pPr>
            <w:r>
              <w:rPr>
                <w:rStyle w:val="Emphasis"/>
                <w:i w:val="0"/>
              </w:rPr>
              <w:t>02</w:t>
            </w:r>
          </w:p>
        </w:tc>
        <w:tc>
          <w:tcPr>
            <w:tcW w:w="2127" w:type="dxa"/>
          </w:tcPr>
          <w:p w:rsidR="00495942" w:rsidRDefault="00427ADD">
            <w:pPr>
              <w:jc w:val="both"/>
              <w:rPr>
                <w:rStyle w:val="Emphasis"/>
                <w:b/>
                <w:i w:val="0"/>
              </w:rPr>
            </w:pPr>
            <w:r>
              <w:rPr>
                <w:rStyle w:val="Emphasis"/>
                <w:i w:val="0"/>
              </w:rPr>
              <w:t>Lợn thịt</w:t>
            </w:r>
          </w:p>
        </w:tc>
        <w:tc>
          <w:tcPr>
            <w:tcW w:w="1275" w:type="dxa"/>
          </w:tcPr>
          <w:p w:rsidR="00495942" w:rsidRDefault="00427ADD">
            <w:pPr>
              <w:jc w:val="center"/>
              <w:rPr>
                <w:rStyle w:val="Emphasis"/>
                <w:b/>
                <w:i w:val="0"/>
              </w:rPr>
            </w:pPr>
            <w:r>
              <w:rPr>
                <w:rStyle w:val="Emphasis"/>
                <w:i w:val="0"/>
              </w:rPr>
              <w:t>9,0</w:t>
            </w:r>
          </w:p>
        </w:tc>
        <w:tc>
          <w:tcPr>
            <w:tcW w:w="851" w:type="dxa"/>
          </w:tcPr>
          <w:p w:rsidR="00495942" w:rsidRDefault="00427ADD">
            <w:pPr>
              <w:jc w:val="center"/>
              <w:rPr>
                <w:rStyle w:val="Emphasis"/>
                <w:b/>
                <w:i w:val="0"/>
              </w:rPr>
            </w:pPr>
            <w:r>
              <w:rPr>
                <w:rStyle w:val="Emphasis"/>
                <w:i w:val="0"/>
              </w:rPr>
              <w:t>0,72</w:t>
            </w:r>
          </w:p>
        </w:tc>
        <w:tc>
          <w:tcPr>
            <w:tcW w:w="992" w:type="dxa"/>
          </w:tcPr>
          <w:p w:rsidR="00495942" w:rsidRDefault="00427ADD">
            <w:pPr>
              <w:jc w:val="center"/>
              <w:rPr>
                <w:rStyle w:val="Emphasis"/>
                <w:b/>
                <w:i w:val="0"/>
              </w:rPr>
            </w:pPr>
            <w:r>
              <w:rPr>
                <w:rStyle w:val="Emphasis"/>
                <w:i w:val="0"/>
              </w:rPr>
              <w:t>0,42</w:t>
            </w:r>
          </w:p>
        </w:tc>
        <w:tc>
          <w:tcPr>
            <w:tcW w:w="920" w:type="dxa"/>
          </w:tcPr>
          <w:p w:rsidR="00495942" w:rsidRDefault="00427ADD">
            <w:pPr>
              <w:jc w:val="center"/>
              <w:rPr>
                <w:rStyle w:val="Emphasis"/>
                <w:b/>
                <w:i w:val="0"/>
              </w:rPr>
            </w:pPr>
            <w:r>
              <w:rPr>
                <w:rStyle w:val="Emphasis"/>
                <w:i w:val="0"/>
              </w:rPr>
              <w:t>0,18</w:t>
            </w:r>
          </w:p>
        </w:tc>
        <w:tc>
          <w:tcPr>
            <w:tcW w:w="1206" w:type="dxa"/>
          </w:tcPr>
          <w:p w:rsidR="00495942" w:rsidRDefault="00427ADD">
            <w:pPr>
              <w:jc w:val="center"/>
              <w:rPr>
                <w:rStyle w:val="Emphasis"/>
                <w:b/>
                <w:i w:val="0"/>
              </w:rPr>
            </w:pPr>
            <w:r>
              <w:rPr>
                <w:rStyle w:val="Emphasis"/>
                <w:i w:val="0"/>
              </w:rPr>
              <w:t>0,60</w:t>
            </w:r>
          </w:p>
        </w:tc>
        <w:tc>
          <w:tcPr>
            <w:tcW w:w="956" w:type="dxa"/>
          </w:tcPr>
          <w:p w:rsidR="00495942" w:rsidRDefault="00427ADD">
            <w:pPr>
              <w:jc w:val="center"/>
              <w:rPr>
                <w:rStyle w:val="Emphasis"/>
                <w:b/>
                <w:i w:val="0"/>
              </w:rPr>
            </w:pPr>
            <w:r>
              <w:rPr>
                <w:rStyle w:val="Emphasis"/>
                <w:i w:val="0"/>
              </w:rPr>
              <w:t>0,108</w:t>
            </w:r>
          </w:p>
        </w:tc>
      </w:tr>
      <w:tr w:rsidR="00495942">
        <w:tc>
          <w:tcPr>
            <w:tcW w:w="567" w:type="dxa"/>
          </w:tcPr>
          <w:p w:rsidR="00495942" w:rsidRDefault="00427ADD">
            <w:pPr>
              <w:jc w:val="center"/>
              <w:rPr>
                <w:rStyle w:val="Emphasis"/>
                <w:i w:val="0"/>
              </w:rPr>
            </w:pPr>
            <w:r>
              <w:rPr>
                <w:rStyle w:val="Emphasis"/>
                <w:i w:val="0"/>
              </w:rPr>
              <w:t>03</w:t>
            </w:r>
          </w:p>
        </w:tc>
        <w:tc>
          <w:tcPr>
            <w:tcW w:w="2127" w:type="dxa"/>
          </w:tcPr>
          <w:p w:rsidR="00495942" w:rsidRDefault="00427ADD">
            <w:pPr>
              <w:jc w:val="both"/>
              <w:rPr>
                <w:rStyle w:val="Emphasis"/>
                <w:b/>
                <w:i w:val="0"/>
              </w:rPr>
            </w:pPr>
            <w:r>
              <w:rPr>
                <w:rStyle w:val="Emphasis"/>
                <w:i w:val="0"/>
              </w:rPr>
              <w:t>Gia cầm (không chất độn chuồng)</w:t>
            </w:r>
          </w:p>
        </w:tc>
        <w:tc>
          <w:tcPr>
            <w:tcW w:w="1275" w:type="dxa"/>
          </w:tcPr>
          <w:p w:rsidR="00495942" w:rsidRDefault="00427ADD">
            <w:pPr>
              <w:jc w:val="center"/>
              <w:rPr>
                <w:rStyle w:val="Emphasis"/>
                <w:b/>
                <w:i w:val="0"/>
              </w:rPr>
            </w:pPr>
            <w:r>
              <w:rPr>
                <w:rStyle w:val="Emphasis"/>
                <w:i w:val="0"/>
              </w:rPr>
              <w:t>17,0</w:t>
            </w:r>
          </w:p>
        </w:tc>
        <w:tc>
          <w:tcPr>
            <w:tcW w:w="851" w:type="dxa"/>
          </w:tcPr>
          <w:p w:rsidR="00495942" w:rsidRDefault="00427ADD">
            <w:pPr>
              <w:jc w:val="center"/>
              <w:rPr>
                <w:rStyle w:val="Emphasis"/>
                <w:b/>
                <w:i w:val="0"/>
              </w:rPr>
            </w:pPr>
            <w:r>
              <w:rPr>
                <w:rStyle w:val="Emphasis"/>
                <w:i w:val="0"/>
              </w:rPr>
              <w:t>1,11</w:t>
            </w:r>
          </w:p>
        </w:tc>
        <w:tc>
          <w:tcPr>
            <w:tcW w:w="992" w:type="dxa"/>
          </w:tcPr>
          <w:p w:rsidR="00495942" w:rsidRDefault="00427ADD">
            <w:pPr>
              <w:jc w:val="center"/>
              <w:rPr>
                <w:rStyle w:val="Emphasis"/>
                <w:b/>
                <w:i w:val="0"/>
              </w:rPr>
            </w:pPr>
            <w:r>
              <w:rPr>
                <w:rStyle w:val="Emphasis"/>
                <w:i w:val="0"/>
              </w:rPr>
              <w:t>0,52</w:t>
            </w:r>
          </w:p>
        </w:tc>
        <w:tc>
          <w:tcPr>
            <w:tcW w:w="920" w:type="dxa"/>
          </w:tcPr>
          <w:p w:rsidR="00495942" w:rsidRDefault="00427ADD">
            <w:pPr>
              <w:jc w:val="center"/>
              <w:rPr>
                <w:rStyle w:val="Emphasis"/>
                <w:b/>
                <w:i w:val="0"/>
              </w:rPr>
            </w:pPr>
            <w:r>
              <w:rPr>
                <w:rStyle w:val="Emphasis"/>
                <w:i w:val="0"/>
              </w:rPr>
              <w:t>0,39</w:t>
            </w:r>
          </w:p>
        </w:tc>
        <w:tc>
          <w:tcPr>
            <w:tcW w:w="1206" w:type="dxa"/>
          </w:tcPr>
          <w:p w:rsidR="00495942" w:rsidRDefault="00427ADD">
            <w:pPr>
              <w:jc w:val="center"/>
              <w:rPr>
                <w:rStyle w:val="Emphasis"/>
                <w:b/>
                <w:i w:val="0"/>
              </w:rPr>
            </w:pPr>
            <w:r>
              <w:rPr>
                <w:rStyle w:val="Emphasis"/>
                <w:i w:val="0"/>
              </w:rPr>
              <w:t>0,44</w:t>
            </w:r>
          </w:p>
        </w:tc>
        <w:tc>
          <w:tcPr>
            <w:tcW w:w="956" w:type="dxa"/>
          </w:tcPr>
          <w:p w:rsidR="00495942" w:rsidRDefault="00427ADD">
            <w:pPr>
              <w:jc w:val="center"/>
              <w:rPr>
                <w:rStyle w:val="Emphasis"/>
                <w:b/>
                <w:i w:val="0"/>
              </w:rPr>
            </w:pPr>
            <w:r>
              <w:rPr>
                <w:rStyle w:val="Emphasis"/>
                <w:i w:val="0"/>
              </w:rPr>
              <w:t>0,17</w:t>
            </w:r>
          </w:p>
        </w:tc>
      </w:tr>
      <w:tr w:rsidR="00495942">
        <w:tc>
          <w:tcPr>
            <w:tcW w:w="567" w:type="dxa"/>
          </w:tcPr>
          <w:p w:rsidR="00495942" w:rsidRDefault="00427ADD">
            <w:pPr>
              <w:jc w:val="center"/>
              <w:rPr>
                <w:rStyle w:val="Emphasis"/>
                <w:i w:val="0"/>
              </w:rPr>
            </w:pPr>
            <w:r>
              <w:rPr>
                <w:rStyle w:val="Emphasis"/>
                <w:i w:val="0"/>
              </w:rPr>
              <w:t>04</w:t>
            </w:r>
          </w:p>
        </w:tc>
        <w:tc>
          <w:tcPr>
            <w:tcW w:w="2127" w:type="dxa"/>
          </w:tcPr>
          <w:p w:rsidR="00495942" w:rsidRDefault="00427ADD">
            <w:pPr>
              <w:jc w:val="both"/>
              <w:rPr>
                <w:rStyle w:val="Emphasis"/>
                <w:b/>
                <w:i w:val="0"/>
              </w:rPr>
            </w:pPr>
            <w:r>
              <w:rPr>
                <w:rStyle w:val="Emphasis"/>
                <w:i w:val="0"/>
              </w:rPr>
              <w:t>Gà đẻ có chất độn chuồng</w:t>
            </w:r>
          </w:p>
        </w:tc>
        <w:tc>
          <w:tcPr>
            <w:tcW w:w="1275" w:type="dxa"/>
          </w:tcPr>
          <w:p w:rsidR="00495942" w:rsidRDefault="00427ADD">
            <w:pPr>
              <w:jc w:val="center"/>
              <w:rPr>
                <w:rStyle w:val="Emphasis"/>
                <w:b/>
                <w:i w:val="0"/>
              </w:rPr>
            </w:pPr>
            <w:r>
              <w:rPr>
                <w:rStyle w:val="Emphasis"/>
                <w:i w:val="0"/>
              </w:rPr>
              <w:t>51,5</w:t>
            </w:r>
          </w:p>
        </w:tc>
        <w:tc>
          <w:tcPr>
            <w:tcW w:w="851" w:type="dxa"/>
          </w:tcPr>
          <w:p w:rsidR="00495942" w:rsidRDefault="00427ADD">
            <w:pPr>
              <w:jc w:val="center"/>
              <w:rPr>
                <w:rStyle w:val="Emphasis"/>
                <w:b/>
                <w:i w:val="0"/>
              </w:rPr>
            </w:pPr>
            <w:r>
              <w:rPr>
                <w:rStyle w:val="Emphasis"/>
                <w:i w:val="0"/>
              </w:rPr>
              <w:t>2,41</w:t>
            </w:r>
          </w:p>
        </w:tc>
        <w:tc>
          <w:tcPr>
            <w:tcW w:w="992" w:type="dxa"/>
          </w:tcPr>
          <w:p w:rsidR="00495942" w:rsidRDefault="00427ADD">
            <w:pPr>
              <w:jc w:val="center"/>
              <w:rPr>
                <w:rStyle w:val="Emphasis"/>
                <w:b/>
                <w:i w:val="0"/>
              </w:rPr>
            </w:pPr>
            <w:r>
              <w:rPr>
                <w:rStyle w:val="Emphasis"/>
                <w:i w:val="0"/>
              </w:rPr>
              <w:t>0,24</w:t>
            </w:r>
          </w:p>
        </w:tc>
        <w:tc>
          <w:tcPr>
            <w:tcW w:w="920" w:type="dxa"/>
          </w:tcPr>
          <w:p w:rsidR="00495942" w:rsidRDefault="00427ADD">
            <w:pPr>
              <w:jc w:val="center"/>
              <w:rPr>
                <w:rStyle w:val="Emphasis"/>
                <w:b/>
                <w:i w:val="0"/>
              </w:rPr>
            </w:pPr>
            <w:r>
              <w:rPr>
                <w:rStyle w:val="Emphasis"/>
                <w:i w:val="0"/>
              </w:rPr>
              <w:t>0,82</w:t>
            </w:r>
          </w:p>
        </w:tc>
        <w:tc>
          <w:tcPr>
            <w:tcW w:w="1206" w:type="dxa"/>
          </w:tcPr>
          <w:p w:rsidR="00495942" w:rsidRDefault="00427ADD">
            <w:pPr>
              <w:jc w:val="center"/>
              <w:rPr>
                <w:rStyle w:val="Emphasis"/>
                <w:b/>
                <w:i w:val="0"/>
              </w:rPr>
            </w:pPr>
            <w:r>
              <w:rPr>
                <w:rStyle w:val="Emphasis"/>
                <w:i w:val="0"/>
              </w:rPr>
              <w:t>1,88</w:t>
            </w:r>
          </w:p>
        </w:tc>
        <w:tc>
          <w:tcPr>
            <w:tcW w:w="956" w:type="dxa"/>
          </w:tcPr>
          <w:p w:rsidR="00495942" w:rsidRDefault="00427ADD">
            <w:pPr>
              <w:jc w:val="center"/>
              <w:rPr>
                <w:rStyle w:val="Emphasis"/>
                <w:b/>
                <w:i w:val="0"/>
              </w:rPr>
            </w:pPr>
            <w:r>
              <w:rPr>
                <w:rStyle w:val="Emphasis"/>
                <w:i w:val="0"/>
              </w:rPr>
              <w:t>0,29</w:t>
            </w:r>
          </w:p>
        </w:tc>
      </w:tr>
      <w:tr w:rsidR="00495942">
        <w:tc>
          <w:tcPr>
            <w:tcW w:w="567" w:type="dxa"/>
          </w:tcPr>
          <w:p w:rsidR="00495942" w:rsidRDefault="00427ADD">
            <w:pPr>
              <w:jc w:val="center"/>
              <w:rPr>
                <w:rStyle w:val="Emphasis"/>
                <w:i w:val="0"/>
              </w:rPr>
            </w:pPr>
            <w:r>
              <w:rPr>
                <w:rStyle w:val="Emphasis"/>
                <w:i w:val="0"/>
              </w:rPr>
              <w:t>05</w:t>
            </w:r>
          </w:p>
        </w:tc>
        <w:tc>
          <w:tcPr>
            <w:tcW w:w="2127" w:type="dxa"/>
          </w:tcPr>
          <w:p w:rsidR="00495942" w:rsidRDefault="00427ADD">
            <w:pPr>
              <w:jc w:val="both"/>
              <w:rPr>
                <w:rStyle w:val="Emphasis"/>
                <w:i w:val="0"/>
              </w:rPr>
            </w:pPr>
            <w:r>
              <w:rPr>
                <w:rStyle w:val="Emphasis"/>
                <w:i w:val="0"/>
              </w:rPr>
              <w:t>Gà thịt có chất độn chuồng</w:t>
            </w:r>
          </w:p>
        </w:tc>
        <w:tc>
          <w:tcPr>
            <w:tcW w:w="1275" w:type="dxa"/>
          </w:tcPr>
          <w:p w:rsidR="00495942" w:rsidRDefault="00427ADD">
            <w:pPr>
              <w:jc w:val="center"/>
              <w:rPr>
                <w:rStyle w:val="Emphasis"/>
                <w:i w:val="0"/>
              </w:rPr>
            </w:pPr>
            <w:r>
              <w:rPr>
                <w:rStyle w:val="Emphasis"/>
                <w:i w:val="0"/>
              </w:rPr>
              <w:t>60,3</w:t>
            </w:r>
          </w:p>
        </w:tc>
        <w:tc>
          <w:tcPr>
            <w:tcW w:w="851" w:type="dxa"/>
          </w:tcPr>
          <w:p w:rsidR="00495942" w:rsidRDefault="00427ADD">
            <w:pPr>
              <w:jc w:val="center"/>
              <w:rPr>
                <w:rStyle w:val="Emphasis"/>
                <w:i w:val="0"/>
              </w:rPr>
            </w:pPr>
            <w:r>
              <w:rPr>
                <w:rStyle w:val="Emphasis"/>
                <w:i w:val="0"/>
              </w:rPr>
              <w:t>2,45</w:t>
            </w:r>
          </w:p>
        </w:tc>
        <w:tc>
          <w:tcPr>
            <w:tcW w:w="992" w:type="dxa"/>
          </w:tcPr>
          <w:p w:rsidR="00495942" w:rsidRDefault="00427ADD">
            <w:pPr>
              <w:jc w:val="center"/>
              <w:rPr>
                <w:rStyle w:val="Emphasis"/>
                <w:i w:val="0"/>
              </w:rPr>
            </w:pPr>
            <w:r>
              <w:rPr>
                <w:rStyle w:val="Emphasis"/>
                <w:i w:val="0"/>
              </w:rPr>
              <w:t>0,80</w:t>
            </w:r>
          </w:p>
        </w:tc>
        <w:tc>
          <w:tcPr>
            <w:tcW w:w="920" w:type="dxa"/>
          </w:tcPr>
          <w:p w:rsidR="00495942" w:rsidRDefault="00427ADD">
            <w:pPr>
              <w:jc w:val="center"/>
              <w:rPr>
                <w:rStyle w:val="Emphasis"/>
                <w:i w:val="0"/>
              </w:rPr>
            </w:pPr>
            <w:r>
              <w:rPr>
                <w:rStyle w:val="Emphasis"/>
                <w:i w:val="0"/>
              </w:rPr>
              <w:t>0,81</w:t>
            </w:r>
          </w:p>
        </w:tc>
        <w:tc>
          <w:tcPr>
            <w:tcW w:w="1206" w:type="dxa"/>
          </w:tcPr>
          <w:p w:rsidR="00495942" w:rsidRDefault="00427ADD">
            <w:pPr>
              <w:jc w:val="center"/>
              <w:rPr>
                <w:rStyle w:val="Emphasis"/>
                <w:i w:val="0"/>
              </w:rPr>
            </w:pPr>
            <w:r>
              <w:rPr>
                <w:rStyle w:val="Emphasis"/>
                <w:i w:val="0"/>
              </w:rPr>
              <w:t>1,42</w:t>
            </w:r>
          </w:p>
        </w:tc>
        <w:tc>
          <w:tcPr>
            <w:tcW w:w="956" w:type="dxa"/>
          </w:tcPr>
          <w:p w:rsidR="00495942" w:rsidRDefault="00427ADD">
            <w:pPr>
              <w:jc w:val="center"/>
              <w:rPr>
                <w:rStyle w:val="Emphasis"/>
                <w:i w:val="0"/>
              </w:rPr>
            </w:pPr>
            <w:r>
              <w:rPr>
                <w:rStyle w:val="Emphasis"/>
                <w:i w:val="0"/>
              </w:rPr>
              <w:t>0,42</w:t>
            </w:r>
          </w:p>
        </w:tc>
      </w:tr>
      <w:tr w:rsidR="00495942">
        <w:tc>
          <w:tcPr>
            <w:tcW w:w="567" w:type="dxa"/>
          </w:tcPr>
          <w:p w:rsidR="00495942" w:rsidRDefault="00427ADD">
            <w:pPr>
              <w:jc w:val="center"/>
              <w:rPr>
                <w:rStyle w:val="Emphasis"/>
                <w:i w:val="0"/>
              </w:rPr>
            </w:pPr>
            <w:r>
              <w:rPr>
                <w:rStyle w:val="Emphasis"/>
                <w:i w:val="0"/>
              </w:rPr>
              <w:t>06</w:t>
            </w:r>
          </w:p>
        </w:tc>
        <w:tc>
          <w:tcPr>
            <w:tcW w:w="2127" w:type="dxa"/>
          </w:tcPr>
          <w:p w:rsidR="00495942" w:rsidRDefault="00427ADD">
            <w:pPr>
              <w:jc w:val="both"/>
              <w:rPr>
                <w:rStyle w:val="Emphasis"/>
                <w:i w:val="0"/>
              </w:rPr>
            </w:pPr>
            <w:r>
              <w:rPr>
                <w:rStyle w:val="Emphasis"/>
                <w:i w:val="0"/>
              </w:rPr>
              <w:t>Bò thịt (không chất độn chuồng)</w:t>
            </w:r>
          </w:p>
        </w:tc>
        <w:tc>
          <w:tcPr>
            <w:tcW w:w="1275" w:type="dxa"/>
          </w:tcPr>
          <w:p w:rsidR="00495942" w:rsidRDefault="00427ADD">
            <w:pPr>
              <w:jc w:val="center"/>
              <w:rPr>
                <w:rStyle w:val="Emphasis"/>
                <w:i w:val="0"/>
              </w:rPr>
            </w:pPr>
            <w:r>
              <w:rPr>
                <w:rStyle w:val="Emphasis"/>
                <w:i w:val="0"/>
              </w:rPr>
              <w:t>8,6</w:t>
            </w:r>
          </w:p>
        </w:tc>
        <w:tc>
          <w:tcPr>
            <w:tcW w:w="851" w:type="dxa"/>
          </w:tcPr>
          <w:p w:rsidR="00495942" w:rsidRDefault="00427ADD">
            <w:pPr>
              <w:jc w:val="center"/>
              <w:rPr>
                <w:rStyle w:val="Emphasis"/>
                <w:i w:val="0"/>
              </w:rPr>
            </w:pPr>
            <w:r>
              <w:rPr>
                <w:rStyle w:val="Emphasis"/>
                <w:i w:val="0"/>
              </w:rPr>
              <w:t>0,44</w:t>
            </w:r>
          </w:p>
        </w:tc>
        <w:tc>
          <w:tcPr>
            <w:tcW w:w="992" w:type="dxa"/>
          </w:tcPr>
          <w:p w:rsidR="00495942" w:rsidRDefault="00427ADD">
            <w:pPr>
              <w:jc w:val="center"/>
              <w:rPr>
                <w:rStyle w:val="Emphasis"/>
                <w:i w:val="0"/>
              </w:rPr>
            </w:pPr>
            <w:r>
              <w:rPr>
                <w:rStyle w:val="Emphasis"/>
                <w:i w:val="0"/>
              </w:rPr>
              <w:t>0,22</w:t>
            </w:r>
          </w:p>
        </w:tc>
        <w:tc>
          <w:tcPr>
            <w:tcW w:w="920" w:type="dxa"/>
          </w:tcPr>
          <w:p w:rsidR="00495942" w:rsidRDefault="00427ADD">
            <w:pPr>
              <w:jc w:val="center"/>
              <w:rPr>
                <w:rStyle w:val="Emphasis"/>
                <w:i w:val="0"/>
              </w:rPr>
            </w:pPr>
            <w:r>
              <w:rPr>
                <w:rStyle w:val="Emphasis"/>
                <w:i w:val="0"/>
              </w:rPr>
              <w:t>0,07</w:t>
            </w:r>
          </w:p>
        </w:tc>
        <w:tc>
          <w:tcPr>
            <w:tcW w:w="1206" w:type="dxa"/>
          </w:tcPr>
          <w:p w:rsidR="00495942" w:rsidRDefault="00427ADD">
            <w:pPr>
              <w:jc w:val="center"/>
              <w:rPr>
                <w:rStyle w:val="Emphasis"/>
                <w:i w:val="0"/>
              </w:rPr>
            </w:pPr>
            <w:r>
              <w:rPr>
                <w:rStyle w:val="Emphasis"/>
                <w:i w:val="0"/>
              </w:rPr>
              <w:t>0,51</w:t>
            </w:r>
          </w:p>
        </w:tc>
        <w:tc>
          <w:tcPr>
            <w:tcW w:w="956" w:type="dxa"/>
          </w:tcPr>
          <w:p w:rsidR="00495942" w:rsidRDefault="00427ADD">
            <w:pPr>
              <w:jc w:val="center"/>
              <w:rPr>
                <w:rStyle w:val="Emphasis"/>
                <w:i w:val="0"/>
              </w:rPr>
            </w:pPr>
            <w:r>
              <w:rPr>
                <w:rStyle w:val="Emphasis"/>
                <w:i w:val="0"/>
              </w:rPr>
              <w:t>0,078</w:t>
            </w:r>
          </w:p>
        </w:tc>
      </w:tr>
      <w:tr w:rsidR="00495942">
        <w:tc>
          <w:tcPr>
            <w:tcW w:w="567" w:type="dxa"/>
          </w:tcPr>
          <w:p w:rsidR="00495942" w:rsidRDefault="00427ADD">
            <w:pPr>
              <w:jc w:val="center"/>
              <w:rPr>
                <w:rStyle w:val="Emphasis"/>
                <w:i w:val="0"/>
              </w:rPr>
            </w:pPr>
            <w:r>
              <w:rPr>
                <w:rStyle w:val="Emphasis"/>
                <w:i w:val="0"/>
              </w:rPr>
              <w:t>07</w:t>
            </w:r>
          </w:p>
        </w:tc>
        <w:tc>
          <w:tcPr>
            <w:tcW w:w="2127" w:type="dxa"/>
          </w:tcPr>
          <w:p w:rsidR="00495942" w:rsidRDefault="00427ADD">
            <w:pPr>
              <w:jc w:val="both"/>
              <w:rPr>
                <w:rStyle w:val="Emphasis"/>
                <w:i w:val="0"/>
              </w:rPr>
            </w:pPr>
            <w:r>
              <w:rPr>
                <w:rStyle w:val="Emphasis"/>
                <w:i w:val="0"/>
              </w:rPr>
              <w:t>Bò thịt (có chất độn chuồng)</w:t>
            </w:r>
          </w:p>
        </w:tc>
        <w:tc>
          <w:tcPr>
            <w:tcW w:w="1275" w:type="dxa"/>
          </w:tcPr>
          <w:p w:rsidR="00495942" w:rsidRDefault="00427ADD">
            <w:pPr>
              <w:jc w:val="center"/>
              <w:rPr>
                <w:rStyle w:val="Emphasis"/>
                <w:i w:val="0"/>
              </w:rPr>
            </w:pPr>
            <w:r>
              <w:rPr>
                <w:rStyle w:val="Emphasis"/>
                <w:i w:val="0"/>
              </w:rPr>
              <w:t>24,8</w:t>
            </w:r>
          </w:p>
        </w:tc>
        <w:tc>
          <w:tcPr>
            <w:tcW w:w="851" w:type="dxa"/>
          </w:tcPr>
          <w:p w:rsidR="00495942" w:rsidRDefault="00427ADD">
            <w:pPr>
              <w:jc w:val="center"/>
              <w:rPr>
                <w:rStyle w:val="Emphasis"/>
                <w:i w:val="0"/>
              </w:rPr>
            </w:pPr>
            <w:r>
              <w:rPr>
                <w:rStyle w:val="Emphasis"/>
                <w:i w:val="0"/>
              </w:rPr>
              <w:t>0,64</w:t>
            </w:r>
          </w:p>
        </w:tc>
        <w:tc>
          <w:tcPr>
            <w:tcW w:w="992" w:type="dxa"/>
          </w:tcPr>
          <w:p w:rsidR="00495942" w:rsidRDefault="00427ADD">
            <w:pPr>
              <w:jc w:val="center"/>
              <w:rPr>
                <w:rStyle w:val="Emphasis"/>
                <w:i w:val="0"/>
              </w:rPr>
            </w:pPr>
            <w:r>
              <w:rPr>
                <w:rStyle w:val="Emphasis"/>
                <w:i w:val="0"/>
              </w:rPr>
              <w:t>0,12</w:t>
            </w:r>
          </w:p>
        </w:tc>
        <w:tc>
          <w:tcPr>
            <w:tcW w:w="920" w:type="dxa"/>
          </w:tcPr>
          <w:p w:rsidR="00495942" w:rsidRDefault="00427ADD">
            <w:pPr>
              <w:jc w:val="center"/>
              <w:rPr>
                <w:rStyle w:val="Emphasis"/>
                <w:i w:val="0"/>
              </w:rPr>
            </w:pPr>
            <w:r>
              <w:rPr>
                <w:rStyle w:val="Emphasis"/>
                <w:i w:val="0"/>
              </w:rPr>
              <w:t>0,18</w:t>
            </w:r>
          </w:p>
        </w:tc>
        <w:tc>
          <w:tcPr>
            <w:tcW w:w="1206" w:type="dxa"/>
          </w:tcPr>
          <w:p w:rsidR="00495942" w:rsidRDefault="00427ADD">
            <w:pPr>
              <w:jc w:val="center"/>
              <w:rPr>
                <w:rStyle w:val="Emphasis"/>
                <w:i w:val="0"/>
              </w:rPr>
            </w:pPr>
            <w:r>
              <w:rPr>
                <w:rStyle w:val="Emphasis"/>
                <w:i w:val="0"/>
              </w:rPr>
              <w:t>0,73</w:t>
            </w:r>
          </w:p>
        </w:tc>
        <w:tc>
          <w:tcPr>
            <w:tcW w:w="956" w:type="dxa"/>
          </w:tcPr>
          <w:p w:rsidR="00495942" w:rsidRDefault="00427ADD">
            <w:pPr>
              <w:jc w:val="center"/>
              <w:rPr>
                <w:rStyle w:val="Emphasis"/>
                <w:i w:val="0"/>
              </w:rPr>
            </w:pPr>
            <w:r>
              <w:rPr>
                <w:rStyle w:val="Emphasis"/>
                <w:i w:val="0"/>
              </w:rPr>
              <w:t>0,13</w:t>
            </w:r>
          </w:p>
        </w:tc>
      </w:tr>
    </w:tbl>
    <w:p w:rsidR="00495942" w:rsidRDefault="00427ADD">
      <w:pPr>
        <w:ind w:left="360"/>
        <w:jc w:val="both"/>
        <w:rPr>
          <w:rStyle w:val="Emphasis"/>
        </w:rPr>
      </w:pPr>
      <w:r>
        <w:rPr>
          <w:rStyle w:val="Emphasis"/>
        </w:rPr>
        <w:t>Nguồn: IAEA, Guideline for sustainable Manure Management in Asian Livestock Production Systems; 2008, (publication of Animal Production and Health Section, IAEA, Vienna, Austria)</w:t>
      </w:r>
    </w:p>
    <w:p w:rsidR="00495942" w:rsidRDefault="00427ADD">
      <w:pPr>
        <w:spacing w:before="120" w:after="120"/>
        <w:ind w:left="360"/>
        <w:jc w:val="both"/>
      </w:pPr>
      <w:r>
        <w:t>Tại Việt Nam, kết quả phân tích hàm lượng dinh dưỡng của một số loại phân chuồng cũng đã được Viện Chăn nuôi công bố như sau:</w:t>
      </w:r>
    </w:p>
    <w:p w:rsidR="00495942" w:rsidRDefault="00495942">
      <w:pPr>
        <w:ind w:left="360"/>
        <w:jc w:val="both"/>
      </w:pPr>
    </w:p>
    <w:p w:rsidR="00495942" w:rsidRDefault="00427ADD">
      <w:pPr>
        <w:ind w:left="360"/>
        <w:jc w:val="both"/>
        <w:rPr>
          <w:b/>
        </w:rPr>
      </w:pPr>
      <w:r>
        <w:rPr>
          <w:b/>
          <w:lang w:val="vi-VN"/>
        </w:rPr>
        <w:t xml:space="preserve">Bảng </w:t>
      </w:r>
      <w:r>
        <w:rPr>
          <w:b/>
        </w:rPr>
        <w:t>3</w:t>
      </w:r>
      <w:r>
        <w:rPr>
          <w:b/>
          <w:lang w:val="vi-VN"/>
        </w:rPr>
        <w:t xml:space="preserve">. Thành phần, tính chất một số loại phân </w:t>
      </w:r>
      <w:r>
        <w:rPr>
          <w:b/>
        </w:rPr>
        <w:t>gia súc tại Việt Nam</w:t>
      </w:r>
    </w:p>
    <w:p w:rsidR="00495942" w:rsidRDefault="00495942">
      <w:pPr>
        <w:ind w:left="360"/>
        <w:jc w:val="both"/>
        <w:rPr>
          <w:b/>
        </w:rPr>
      </w:pPr>
    </w:p>
    <w:tbl>
      <w:tblPr>
        <w:tblW w:w="0" w:type="auto"/>
        <w:tblInd w:w="12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10"/>
        <w:gridCol w:w="1445"/>
        <w:gridCol w:w="1311"/>
        <w:gridCol w:w="1264"/>
      </w:tblGrid>
      <w:tr w:rsidR="00495942">
        <w:trPr>
          <w:trHeight w:val="269"/>
        </w:trPr>
        <w:tc>
          <w:tcPr>
            <w:tcW w:w="2410" w:type="dxa"/>
            <w:vMerge w:val="restart"/>
            <w:shd w:val="clear" w:color="auto" w:fill="auto"/>
            <w:vAlign w:val="center"/>
          </w:tcPr>
          <w:p w:rsidR="00495942" w:rsidRDefault="00427ADD">
            <w:pPr>
              <w:ind w:left="360"/>
              <w:jc w:val="center"/>
              <w:rPr>
                <w:b/>
              </w:rPr>
            </w:pPr>
            <w:r>
              <w:rPr>
                <w:b/>
              </w:rPr>
              <w:t>Chỉ tiêu</w:t>
            </w:r>
          </w:p>
        </w:tc>
        <w:tc>
          <w:tcPr>
            <w:tcW w:w="1445" w:type="dxa"/>
            <w:shd w:val="clear" w:color="auto" w:fill="auto"/>
            <w:vAlign w:val="center"/>
          </w:tcPr>
          <w:p w:rsidR="00495942" w:rsidRDefault="00427ADD">
            <w:pPr>
              <w:ind w:left="360"/>
              <w:jc w:val="center"/>
              <w:rPr>
                <w:b/>
              </w:rPr>
            </w:pPr>
            <w:r>
              <w:rPr>
                <w:b/>
              </w:rPr>
              <w:t>Phân trâu</w:t>
            </w:r>
          </w:p>
        </w:tc>
        <w:tc>
          <w:tcPr>
            <w:tcW w:w="1311" w:type="dxa"/>
            <w:shd w:val="clear" w:color="auto" w:fill="auto"/>
            <w:vAlign w:val="center"/>
          </w:tcPr>
          <w:p w:rsidR="00495942" w:rsidRDefault="00427ADD">
            <w:pPr>
              <w:ind w:left="360"/>
              <w:jc w:val="center"/>
              <w:rPr>
                <w:b/>
              </w:rPr>
            </w:pPr>
            <w:r>
              <w:rPr>
                <w:b/>
              </w:rPr>
              <w:t>Phân bò</w:t>
            </w:r>
          </w:p>
        </w:tc>
        <w:tc>
          <w:tcPr>
            <w:tcW w:w="1264" w:type="dxa"/>
            <w:shd w:val="clear" w:color="auto" w:fill="auto"/>
            <w:vAlign w:val="center"/>
          </w:tcPr>
          <w:p w:rsidR="00495942" w:rsidRDefault="00427ADD">
            <w:pPr>
              <w:ind w:left="360"/>
              <w:jc w:val="center"/>
              <w:rPr>
                <w:b/>
              </w:rPr>
            </w:pPr>
            <w:r>
              <w:rPr>
                <w:b/>
              </w:rPr>
              <w:t>Phân lợn</w:t>
            </w:r>
          </w:p>
        </w:tc>
      </w:tr>
      <w:tr w:rsidR="00495942">
        <w:trPr>
          <w:trHeight w:val="269"/>
        </w:trPr>
        <w:tc>
          <w:tcPr>
            <w:tcW w:w="2410" w:type="dxa"/>
            <w:vMerge/>
            <w:shd w:val="clear" w:color="auto" w:fill="auto"/>
            <w:vAlign w:val="center"/>
          </w:tcPr>
          <w:p w:rsidR="00495942" w:rsidRDefault="00495942">
            <w:pPr>
              <w:ind w:left="360"/>
              <w:jc w:val="center"/>
              <w:rPr>
                <w:b/>
              </w:rPr>
            </w:pPr>
          </w:p>
        </w:tc>
        <w:tc>
          <w:tcPr>
            <w:tcW w:w="4020" w:type="dxa"/>
            <w:gridSpan w:val="3"/>
            <w:shd w:val="clear" w:color="auto" w:fill="auto"/>
            <w:vAlign w:val="center"/>
          </w:tcPr>
          <w:p w:rsidR="00495942" w:rsidRDefault="00427ADD">
            <w:pPr>
              <w:ind w:left="360"/>
              <w:jc w:val="center"/>
              <w:rPr>
                <w:b/>
              </w:rPr>
            </w:pPr>
            <w:r>
              <w:rPr>
                <w:b/>
              </w:rPr>
              <w:t>% phân tươi</w:t>
            </w:r>
          </w:p>
        </w:tc>
      </w:tr>
      <w:tr w:rsidR="00495942">
        <w:trPr>
          <w:trHeight w:val="269"/>
        </w:trPr>
        <w:tc>
          <w:tcPr>
            <w:tcW w:w="2410" w:type="dxa"/>
            <w:shd w:val="clear" w:color="auto" w:fill="auto"/>
          </w:tcPr>
          <w:p w:rsidR="00495942" w:rsidRDefault="00427ADD">
            <w:pPr>
              <w:ind w:left="360"/>
              <w:jc w:val="both"/>
            </w:pPr>
            <w:r>
              <w:t xml:space="preserve">Chất khô </w:t>
            </w:r>
          </w:p>
        </w:tc>
        <w:tc>
          <w:tcPr>
            <w:tcW w:w="1445" w:type="dxa"/>
            <w:shd w:val="clear" w:color="auto" w:fill="auto"/>
          </w:tcPr>
          <w:p w:rsidR="00495942" w:rsidRDefault="00427ADD">
            <w:pPr>
              <w:ind w:left="360"/>
              <w:jc w:val="center"/>
            </w:pPr>
            <w:r>
              <w:t>17,7</w:t>
            </w:r>
          </w:p>
        </w:tc>
        <w:tc>
          <w:tcPr>
            <w:tcW w:w="1311" w:type="dxa"/>
            <w:shd w:val="clear" w:color="auto" w:fill="auto"/>
          </w:tcPr>
          <w:p w:rsidR="00495942" w:rsidRDefault="00427ADD">
            <w:pPr>
              <w:ind w:left="360"/>
              <w:jc w:val="center"/>
            </w:pPr>
            <w:r>
              <w:t>26,2</w:t>
            </w:r>
          </w:p>
        </w:tc>
        <w:tc>
          <w:tcPr>
            <w:tcW w:w="1264" w:type="dxa"/>
            <w:shd w:val="clear" w:color="auto" w:fill="auto"/>
          </w:tcPr>
          <w:p w:rsidR="00495942" w:rsidRDefault="00427ADD">
            <w:pPr>
              <w:ind w:left="360"/>
              <w:jc w:val="center"/>
            </w:pPr>
            <w:r>
              <w:t>33,8</w:t>
            </w:r>
          </w:p>
        </w:tc>
      </w:tr>
      <w:tr w:rsidR="00495942">
        <w:tc>
          <w:tcPr>
            <w:tcW w:w="2410" w:type="dxa"/>
            <w:shd w:val="clear" w:color="auto" w:fill="auto"/>
          </w:tcPr>
          <w:p w:rsidR="00495942" w:rsidRDefault="00427ADD">
            <w:pPr>
              <w:ind w:left="360"/>
              <w:jc w:val="both"/>
            </w:pPr>
            <w:r>
              <w:t xml:space="preserve">N tổng số </w:t>
            </w:r>
          </w:p>
        </w:tc>
        <w:tc>
          <w:tcPr>
            <w:tcW w:w="1445" w:type="dxa"/>
            <w:shd w:val="clear" w:color="auto" w:fill="auto"/>
          </w:tcPr>
          <w:p w:rsidR="00495942" w:rsidRDefault="00427ADD">
            <w:pPr>
              <w:ind w:left="360"/>
              <w:jc w:val="center"/>
            </w:pPr>
            <w:r>
              <w:t>0,306</w:t>
            </w:r>
          </w:p>
        </w:tc>
        <w:tc>
          <w:tcPr>
            <w:tcW w:w="1311" w:type="dxa"/>
            <w:shd w:val="clear" w:color="auto" w:fill="auto"/>
          </w:tcPr>
          <w:p w:rsidR="00495942" w:rsidRDefault="00427ADD">
            <w:pPr>
              <w:ind w:left="360"/>
              <w:jc w:val="center"/>
            </w:pPr>
            <w:r>
              <w:t>0,341</w:t>
            </w:r>
          </w:p>
        </w:tc>
        <w:tc>
          <w:tcPr>
            <w:tcW w:w="1264" w:type="dxa"/>
            <w:shd w:val="clear" w:color="auto" w:fill="auto"/>
          </w:tcPr>
          <w:p w:rsidR="00495942" w:rsidRDefault="00427ADD">
            <w:pPr>
              <w:ind w:left="360"/>
              <w:jc w:val="center"/>
            </w:pPr>
            <w:r>
              <w:t>0,669</w:t>
            </w:r>
          </w:p>
        </w:tc>
      </w:tr>
      <w:tr w:rsidR="00495942">
        <w:tc>
          <w:tcPr>
            <w:tcW w:w="2410" w:type="dxa"/>
            <w:shd w:val="clear" w:color="auto" w:fill="auto"/>
          </w:tcPr>
          <w:p w:rsidR="00495942" w:rsidRDefault="00427ADD">
            <w:pPr>
              <w:ind w:left="360"/>
              <w:jc w:val="both"/>
            </w:pPr>
            <w:r>
              <w:rPr>
                <w:bCs/>
              </w:rPr>
              <w:t>P</w:t>
            </w:r>
            <w:r>
              <w:rPr>
                <w:bCs/>
                <w:vertAlign w:val="subscript"/>
              </w:rPr>
              <w:t>2</w:t>
            </w:r>
            <w:r>
              <w:rPr>
                <w:bCs/>
              </w:rPr>
              <w:t>O</w:t>
            </w:r>
            <w:r>
              <w:rPr>
                <w:bCs/>
                <w:vertAlign w:val="subscript"/>
              </w:rPr>
              <w:t>5</w:t>
            </w:r>
            <w:r>
              <w:t xml:space="preserve"> tổng số </w:t>
            </w:r>
          </w:p>
        </w:tc>
        <w:tc>
          <w:tcPr>
            <w:tcW w:w="1445" w:type="dxa"/>
            <w:shd w:val="clear" w:color="auto" w:fill="auto"/>
          </w:tcPr>
          <w:p w:rsidR="00495942" w:rsidRDefault="00427ADD">
            <w:pPr>
              <w:ind w:left="360"/>
              <w:jc w:val="center"/>
            </w:pPr>
            <w:r>
              <w:t>0,076</w:t>
            </w:r>
          </w:p>
        </w:tc>
        <w:tc>
          <w:tcPr>
            <w:tcW w:w="1311" w:type="dxa"/>
            <w:shd w:val="clear" w:color="auto" w:fill="auto"/>
          </w:tcPr>
          <w:p w:rsidR="00495942" w:rsidRDefault="00427ADD">
            <w:pPr>
              <w:ind w:left="360"/>
              <w:jc w:val="center"/>
            </w:pPr>
            <w:r>
              <w:t>0,099</w:t>
            </w:r>
          </w:p>
        </w:tc>
        <w:tc>
          <w:tcPr>
            <w:tcW w:w="1264" w:type="dxa"/>
            <w:shd w:val="clear" w:color="auto" w:fill="auto"/>
          </w:tcPr>
          <w:p w:rsidR="00495942" w:rsidRDefault="00427ADD">
            <w:pPr>
              <w:ind w:left="360"/>
              <w:jc w:val="center"/>
            </w:pPr>
            <w:r>
              <w:t>0,546</w:t>
            </w:r>
          </w:p>
        </w:tc>
      </w:tr>
      <w:tr w:rsidR="00495942">
        <w:tc>
          <w:tcPr>
            <w:tcW w:w="2410" w:type="dxa"/>
            <w:shd w:val="clear" w:color="auto" w:fill="auto"/>
          </w:tcPr>
          <w:p w:rsidR="00495942" w:rsidRDefault="00427ADD">
            <w:pPr>
              <w:ind w:left="360"/>
              <w:jc w:val="both"/>
              <w:rPr>
                <w:lang w:val="de-DE"/>
              </w:rPr>
            </w:pPr>
            <w:r>
              <w:rPr>
                <w:lang w:val="de-DE"/>
              </w:rPr>
              <w:t>K</w:t>
            </w:r>
            <w:r>
              <w:rPr>
                <w:bCs/>
                <w:vertAlign w:val="subscript"/>
              </w:rPr>
              <w:t>2</w:t>
            </w:r>
            <w:r>
              <w:rPr>
                <w:bCs/>
              </w:rPr>
              <w:t>O</w:t>
            </w:r>
            <w:r>
              <w:rPr>
                <w:lang w:val="de-DE"/>
              </w:rPr>
              <w:t xml:space="preserve"> tổng số </w:t>
            </w:r>
          </w:p>
        </w:tc>
        <w:tc>
          <w:tcPr>
            <w:tcW w:w="1445" w:type="dxa"/>
            <w:shd w:val="clear" w:color="auto" w:fill="auto"/>
          </w:tcPr>
          <w:p w:rsidR="00495942" w:rsidRDefault="00427ADD">
            <w:pPr>
              <w:ind w:left="360"/>
              <w:jc w:val="center"/>
              <w:rPr>
                <w:lang w:val="de-DE"/>
              </w:rPr>
            </w:pPr>
            <w:r>
              <w:rPr>
                <w:lang w:val="de-DE"/>
              </w:rPr>
              <w:t>1,129</w:t>
            </w:r>
          </w:p>
        </w:tc>
        <w:tc>
          <w:tcPr>
            <w:tcW w:w="1311" w:type="dxa"/>
            <w:shd w:val="clear" w:color="auto" w:fill="auto"/>
          </w:tcPr>
          <w:p w:rsidR="00495942" w:rsidRDefault="00427ADD">
            <w:pPr>
              <w:ind w:left="360"/>
              <w:jc w:val="center"/>
              <w:rPr>
                <w:lang w:val="de-DE"/>
              </w:rPr>
            </w:pPr>
            <w:r>
              <w:rPr>
                <w:lang w:val="de-DE"/>
              </w:rPr>
              <w:t>0,795</w:t>
            </w:r>
          </w:p>
        </w:tc>
        <w:tc>
          <w:tcPr>
            <w:tcW w:w="1264" w:type="dxa"/>
            <w:shd w:val="clear" w:color="auto" w:fill="auto"/>
          </w:tcPr>
          <w:p w:rsidR="00495942" w:rsidRDefault="00427ADD">
            <w:pPr>
              <w:ind w:left="360"/>
              <w:jc w:val="center"/>
              <w:rPr>
                <w:lang w:val="de-DE"/>
              </w:rPr>
            </w:pPr>
            <w:r>
              <w:rPr>
                <w:lang w:val="de-DE"/>
              </w:rPr>
              <w:t>0,991</w:t>
            </w:r>
          </w:p>
        </w:tc>
      </w:tr>
    </w:tbl>
    <w:p w:rsidR="00495942" w:rsidRDefault="00427ADD">
      <w:pPr>
        <w:ind w:left="360"/>
        <w:jc w:val="both"/>
        <w:rPr>
          <w:i/>
          <w:lang w:val="de-DE"/>
        </w:rPr>
      </w:pPr>
      <w:r>
        <w:rPr>
          <w:i/>
          <w:lang w:val="de-DE"/>
        </w:rPr>
        <w:t>Nguồn: Vũ Chí Cương, 2013</w:t>
      </w:r>
    </w:p>
    <w:p w:rsidR="00495942" w:rsidRDefault="00427ADD">
      <w:pPr>
        <w:spacing w:before="120" w:after="120"/>
        <w:ind w:left="360"/>
        <w:jc w:val="both"/>
        <w:rPr>
          <w:lang w:val="it-IT"/>
        </w:rPr>
      </w:pPr>
      <w:r>
        <w:rPr>
          <w:lang w:val="it-IT"/>
        </w:rPr>
        <w:t xml:space="preserve">Nước thải chăn nuôi bao gồm một phần chất thải rắn, nước tiểu vật nuôi và nước rửa chuồng trại. Hàm lượng chất hữu cơ trong nước thải chăn nuôi thường rất cao. Tuy nhiên, trong nước thải chăn nuôi chưa được xử lý thường có nhiều mầm bệnh và trứng giun sán có thể gây bệnh cho con người và vật nuôi. Ngoài ra, nước thải chăn nuôi còn gây mùi hôi thối khó chịu và là môi trường thuận lợi cho các loại ruồi muỗi phát triển. Do vậy, muốn sử dụng được nước thải chăn nuôi, chúng ta phải xử lý nhằm diệt hết mầm bệnh trong nước thải và chuyển hóa chất hữu cơ thành khoáng chất giúp cho cây trồng có thể hấp thụ. Hiện nay, có 3 biện pháp chính để xử lý nước thải chăn nuôi: (i) xử lý yếm khí bằng công nghệ khí sinh học; (ii) xử lý hiếu khí bằng phương pháp thổi không khí vào nước thải; (iii) sử dụng các vi sinh vật có ích nhằm thúc đẩy quá trình khoáng hóa chất hữu cơ. Các biện pháp xử lý này đều có chi phí không cao nhưng đòi hỏi phải có thời gian để chất hữu cơ trong nước thải chăn nuôi chuyển hóa thành khoáng chất giúp cây trồng có thể hấp thụ. Thực tế cho thấy, nước thải chăn nuôi sau khi được xử lý qua hầm khí sinh học (biện pháp xử lý nước thải chăn nuôi đang rất phổ biến ở nước ta) đều sạch hết mầm bệnh, trứng giun sán và có thể sử dụng tưới cho cây trồng. Tuy nhiên, đối với mỗi loại cây trồng khác nhau cần phải có nồng độ tưới, tần suất tưới và khối lượng mỗi lần tưới phù hợp nhằm đảm bảo không ảnh hưởng đến sinh trưởng của cây trồng. Nhiều tài liệu nghiên cứu trên thế giới đã đưa ra các khuyến cáo cụ thể về quy trình sử dụng nước thải sau bioga tưới cho các loại cây trồng khác nhau giúp tăng năng suất cây trồng và giảm sử dụng phân bón vô cơ. </w:t>
      </w:r>
      <w:r>
        <w:rPr>
          <w:color w:val="000000"/>
          <w:lang w:val="it-IT"/>
        </w:rPr>
        <w:t xml:space="preserve">Một số nước phát triển như Đan Mạch, Hà Lan,... cho phép sử dụng chất thải lỏng bón trực tiếp vào đất. Do chăn nuôi ở các nước phát triển sử dụng rất ít nước nên chất thải lỏng thường khá đậm đặc (chỉ có phân và nước tiểu), do vậy, nông dân có thể sử dụng xe bồn để vận chuyển chất thải lỏng hiệu quả và có hệ thống thiết bị chuyên dụng để bơm chất thải lỏng đậm đặc vào đất </w:t>
      </w:r>
      <w:r>
        <w:rPr>
          <w:lang w:val="it-IT"/>
        </w:rPr>
        <w:t>làm cho các chất dinh dưỡng được thấm sâu vào đất, hạn chế bị rửa trôi và giảm ô nhiễm mùi hôi khó chịu</w:t>
      </w:r>
      <w:r>
        <w:rPr>
          <w:color w:val="000000"/>
          <w:lang w:val="it-IT"/>
        </w:rPr>
        <w:t xml:space="preserve">. Ngoài ra, nông dân có thể tưới </w:t>
      </w:r>
      <w:r>
        <w:rPr>
          <w:lang w:val="it-IT"/>
        </w:rPr>
        <w:t>trực tiếp bã thải hoặc nước thải lên bề mặt đồng cỏ và để ít nhất sau 20 ngày mới cho gia súc sử dụng đồng cỏ này (Tiêu chuẩn của Europian Commission, 2003). Ở một số nước Châu Âu, các trang trại chăn nuôi còn có hình thức bán chất thải lỏng cho các trang trại trồng trọt giúp làm tăng thu nhập cho cho người chăn nuôi (Theo IAEA, 2008).</w:t>
      </w:r>
    </w:p>
    <w:p w:rsidR="00495942" w:rsidRDefault="00427ADD">
      <w:pPr>
        <w:spacing w:before="120" w:after="120"/>
        <w:ind w:left="360"/>
        <w:jc w:val="both"/>
        <w:rPr>
          <w:sz w:val="28"/>
          <w:szCs w:val="28"/>
          <w:lang w:val="it-IT"/>
        </w:rPr>
      </w:pPr>
      <w:r>
        <w:rPr>
          <w:lang w:val="it-IT"/>
        </w:rPr>
        <w:t>Một số nghiên cứu về hàm lượng các chất dinh dưỡng của nước xả sau bioga cho thấy hàm lượng chất dinh dưỡng khá cao, không thua kém nhiều phân bón hữu cơ. Cụ thể: nước xả sau bioga có hàm lượng chất khô dưới 1% ở Việt Nam có hàm lượng Nitơ tổng số là 0,7 kg/m</w:t>
      </w:r>
      <w:r>
        <w:rPr>
          <w:vertAlign w:val="superscript"/>
          <w:lang w:val="it-IT"/>
        </w:rPr>
        <w:t>3</w:t>
      </w:r>
      <w:r>
        <w:rPr>
          <w:lang w:val="it-IT"/>
        </w:rPr>
        <w:t>, P2O5 là 0,24 kg/m</w:t>
      </w:r>
      <w:r>
        <w:rPr>
          <w:vertAlign w:val="superscript"/>
          <w:lang w:val="it-IT"/>
        </w:rPr>
        <w:t>3</w:t>
      </w:r>
      <w:r>
        <w:rPr>
          <w:lang w:val="it-IT"/>
        </w:rPr>
        <w:t>, K2O là 1,22 kg/m</w:t>
      </w:r>
      <w:r>
        <w:rPr>
          <w:vertAlign w:val="superscript"/>
          <w:lang w:val="it-IT"/>
        </w:rPr>
        <w:t>3</w:t>
      </w:r>
      <w:r>
        <w:rPr>
          <w:lang w:val="it-IT"/>
        </w:rPr>
        <w:t xml:space="preserve"> (Cục Chăn nuôi – SNV, 2011). </w:t>
      </w:r>
      <w:r>
        <w:rPr>
          <w:color w:val="000000"/>
          <w:lang w:val="it-IT"/>
        </w:rPr>
        <w:t xml:space="preserve">Một số nước như Trung Quốc, Ấn Độ, ... đã có các chính sách khuyến khích, hỗ trợ tài chính và ban hành các quy trình kỹ thuật nhằm hướng dẫn người dân sử dụng nước xả sau bioga để tưới cho các loại cây trồng khác nhau. </w:t>
      </w:r>
    </w:p>
    <w:p w:rsidR="00495942" w:rsidRDefault="00427ADD">
      <w:pPr>
        <w:ind w:left="360"/>
        <w:jc w:val="both"/>
        <w:rPr>
          <w:lang w:val="de-DE"/>
        </w:rPr>
      </w:pPr>
      <w:r>
        <w:rPr>
          <w:lang w:val="de-DE"/>
        </w:rPr>
        <w:t>Từ các kết quả phân tích nêu trên có thể kết luận, chất thải chăn nuôi là loại chất hữu cơ quý, có thành phần dinh dưỡng rất cao, nếu được thu gom và xử lý hiệu quả sẽ trở thành nguồn phân hữu cơ rất có giá trị cho sản xuất nông nghiệp. Ước tính sơ bộ giá trị phân bón của chất thải chăn nuôi rắn hàng năm của nước ta như sau:</w:t>
      </w:r>
    </w:p>
    <w:p w:rsidR="00495942" w:rsidRDefault="00427ADD">
      <w:pPr>
        <w:spacing w:before="120" w:after="120"/>
        <w:ind w:left="360"/>
        <w:jc w:val="both"/>
        <w:rPr>
          <w:rStyle w:val="Emphasis"/>
          <w:b/>
          <w:i w:val="0"/>
          <w:lang w:val="vi-VN"/>
        </w:rPr>
      </w:pPr>
      <w:r>
        <w:rPr>
          <w:rStyle w:val="Emphasis"/>
          <w:b/>
          <w:i w:val="0"/>
          <w:lang w:val="vi-VN"/>
        </w:rPr>
        <w:t xml:space="preserve">Bảng </w:t>
      </w:r>
      <w:r>
        <w:rPr>
          <w:rStyle w:val="Emphasis"/>
          <w:b/>
          <w:i w:val="0"/>
          <w:lang w:val="de-DE"/>
        </w:rPr>
        <w:t>4</w:t>
      </w:r>
      <w:r>
        <w:rPr>
          <w:rStyle w:val="Emphasis"/>
          <w:b/>
          <w:i w:val="0"/>
          <w:lang w:val="vi-VN"/>
        </w:rPr>
        <w:t>. Giá trị phân bón của các nguồn chất thải chăn nuôi hàng năm</w:t>
      </w:r>
    </w:p>
    <w:p w:rsidR="00495942" w:rsidRDefault="00495942">
      <w:pPr>
        <w:ind w:left="360"/>
        <w:jc w:val="both"/>
        <w:rPr>
          <w:rStyle w:val="Emphasis"/>
          <w:b/>
          <w:i w:val="0"/>
          <w:lang w:val="de-DE"/>
        </w:rPr>
      </w:pPr>
    </w:p>
    <w:tbl>
      <w:tblPr>
        <w:tblStyle w:val="TableGrid"/>
        <w:tblW w:w="8789" w:type="dxa"/>
        <w:tblInd w:w="108" w:type="dxa"/>
        <w:tblLayout w:type="fixed"/>
        <w:tblLook w:val="04A0" w:firstRow="1" w:lastRow="0" w:firstColumn="1" w:lastColumn="0" w:noHBand="0" w:noVBand="1"/>
      </w:tblPr>
      <w:tblGrid>
        <w:gridCol w:w="567"/>
        <w:gridCol w:w="2127"/>
        <w:gridCol w:w="1417"/>
        <w:gridCol w:w="1418"/>
        <w:gridCol w:w="992"/>
        <w:gridCol w:w="1134"/>
        <w:gridCol w:w="1134"/>
      </w:tblGrid>
      <w:tr w:rsidR="00495942">
        <w:tc>
          <w:tcPr>
            <w:tcW w:w="567" w:type="dxa"/>
            <w:vMerge w:val="restart"/>
          </w:tcPr>
          <w:p w:rsidR="00495942" w:rsidRDefault="00427ADD">
            <w:pPr>
              <w:jc w:val="center"/>
              <w:rPr>
                <w:rStyle w:val="Emphasis"/>
                <w:b/>
                <w:i w:val="0"/>
              </w:rPr>
            </w:pPr>
            <w:r>
              <w:rPr>
                <w:rStyle w:val="Emphasis"/>
                <w:b/>
                <w:i w:val="0"/>
              </w:rPr>
              <w:t>Stt</w:t>
            </w:r>
          </w:p>
        </w:tc>
        <w:tc>
          <w:tcPr>
            <w:tcW w:w="2127" w:type="dxa"/>
            <w:vMerge w:val="restart"/>
          </w:tcPr>
          <w:p w:rsidR="00495942" w:rsidRDefault="00427ADD">
            <w:pPr>
              <w:jc w:val="center"/>
              <w:rPr>
                <w:rStyle w:val="Emphasis"/>
                <w:b/>
                <w:i w:val="0"/>
              </w:rPr>
            </w:pPr>
            <w:r>
              <w:rPr>
                <w:rStyle w:val="Emphasis"/>
                <w:b/>
                <w:i w:val="0"/>
              </w:rPr>
              <w:t>Loại chất thải</w:t>
            </w:r>
          </w:p>
        </w:tc>
        <w:tc>
          <w:tcPr>
            <w:tcW w:w="1417" w:type="dxa"/>
            <w:vMerge w:val="restart"/>
          </w:tcPr>
          <w:p w:rsidR="00495942" w:rsidRDefault="00427ADD">
            <w:pPr>
              <w:jc w:val="center"/>
              <w:rPr>
                <w:rStyle w:val="Emphasis"/>
                <w:b/>
                <w:i w:val="0"/>
              </w:rPr>
            </w:pPr>
            <w:r>
              <w:rPr>
                <w:rStyle w:val="Emphasis"/>
                <w:b/>
                <w:i w:val="0"/>
              </w:rPr>
              <w:t>Số lượng</w:t>
            </w:r>
          </w:p>
          <w:p w:rsidR="00495942" w:rsidRDefault="00427ADD">
            <w:pPr>
              <w:jc w:val="center"/>
              <w:rPr>
                <w:rStyle w:val="Emphasis"/>
                <w:b/>
                <w:i w:val="0"/>
              </w:rPr>
            </w:pPr>
            <w:r>
              <w:rPr>
                <w:rStyle w:val="Emphasis"/>
                <w:b/>
                <w:i w:val="0"/>
              </w:rPr>
              <w:t>(triệu tấn)</w:t>
            </w:r>
          </w:p>
        </w:tc>
        <w:tc>
          <w:tcPr>
            <w:tcW w:w="4678" w:type="dxa"/>
            <w:gridSpan w:val="4"/>
          </w:tcPr>
          <w:p w:rsidR="00495942" w:rsidRDefault="00427ADD">
            <w:pPr>
              <w:jc w:val="center"/>
              <w:rPr>
                <w:rStyle w:val="Emphasis"/>
                <w:b/>
                <w:i w:val="0"/>
              </w:rPr>
            </w:pPr>
            <w:r>
              <w:rPr>
                <w:rStyle w:val="Emphasis"/>
                <w:b/>
                <w:i w:val="0"/>
              </w:rPr>
              <w:t>Giá trị về phân bón (triệu tấn)</w:t>
            </w:r>
          </w:p>
        </w:tc>
      </w:tr>
      <w:tr w:rsidR="00495942">
        <w:tc>
          <w:tcPr>
            <w:tcW w:w="567" w:type="dxa"/>
            <w:vMerge/>
          </w:tcPr>
          <w:p w:rsidR="00495942" w:rsidRDefault="00495942">
            <w:pPr>
              <w:jc w:val="center"/>
              <w:rPr>
                <w:rStyle w:val="Emphasis"/>
                <w:i w:val="0"/>
              </w:rPr>
            </w:pPr>
          </w:p>
        </w:tc>
        <w:tc>
          <w:tcPr>
            <w:tcW w:w="2127" w:type="dxa"/>
            <w:vMerge/>
          </w:tcPr>
          <w:p w:rsidR="00495942" w:rsidRDefault="00495942">
            <w:pPr>
              <w:jc w:val="both"/>
              <w:rPr>
                <w:rStyle w:val="Emphasis"/>
                <w:b/>
                <w:i w:val="0"/>
              </w:rPr>
            </w:pPr>
          </w:p>
        </w:tc>
        <w:tc>
          <w:tcPr>
            <w:tcW w:w="1417" w:type="dxa"/>
            <w:vMerge/>
          </w:tcPr>
          <w:p w:rsidR="00495942" w:rsidRDefault="00495942">
            <w:pPr>
              <w:jc w:val="center"/>
              <w:rPr>
                <w:rStyle w:val="Emphasis"/>
                <w:b/>
                <w:i w:val="0"/>
              </w:rPr>
            </w:pPr>
          </w:p>
        </w:tc>
        <w:tc>
          <w:tcPr>
            <w:tcW w:w="1418" w:type="dxa"/>
          </w:tcPr>
          <w:p w:rsidR="00495942" w:rsidRDefault="00427ADD">
            <w:pPr>
              <w:jc w:val="center"/>
              <w:rPr>
                <w:rStyle w:val="Emphasis"/>
                <w:b/>
                <w:i w:val="0"/>
              </w:rPr>
            </w:pPr>
            <w:r>
              <w:rPr>
                <w:rStyle w:val="Emphasis"/>
                <w:b/>
                <w:i w:val="0"/>
              </w:rPr>
              <w:t>Hữu cơ</w:t>
            </w:r>
          </w:p>
        </w:tc>
        <w:tc>
          <w:tcPr>
            <w:tcW w:w="992" w:type="dxa"/>
          </w:tcPr>
          <w:p w:rsidR="00495942" w:rsidRDefault="00427ADD">
            <w:pPr>
              <w:jc w:val="center"/>
              <w:rPr>
                <w:rStyle w:val="Emphasis"/>
                <w:b/>
                <w:i w:val="0"/>
              </w:rPr>
            </w:pPr>
            <w:r>
              <w:rPr>
                <w:rStyle w:val="Emphasis"/>
                <w:b/>
                <w:i w:val="0"/>
              </w:rPr>
              <w:t>N-ts</w:t>
            </w:r>
          </w:p>
        </w:tc>
        <w:tc>
          <w:tcPr>
            <w:tcW w:w="1134" w:type="dxa"/>
          </w:tcPr>
          <w:p w:rsidR="00495942" w:rsidRDefault="00427ADD">
            <w:pPr>
              <w:jc w:val="center"/>
              <w:rPr>
                <w:rStyle w:val="Emphasis"/>
                <w:b/>
                <w:i w:val="0"/>
              </w:rPr>
            </w:pPr>
            <w:r>
              <w:rPr>
                <w:rStyle w:val="Emphasis"/>
                <w:b/>
                <w:i w:val="0"/>
              </w:rPr>
              <w:t>P</w:t>
            </w:r>
            <w:r>
              <w:rPr>
                <w:rStyle w:val="Emphasis"/>
                <w:b/>
                <w:i w:val="0"/>
                <w:vertAlign w:val="subscript"/>
              </w:rPr>
              <w:t>2</w:t>
            </w:r>
            <w:r>
              <w:rPr>
                <w:rStyle w:val="Emphasis"/>
                <w:b/>
                <w:i w:val="0"/>
              </w:rPr>
              <w:t>O</w:t>
            </w:r>
            <w:r>
              <w:rPr>
                <w:rStyle w:val="Emphasis"/>
                <w:b/>
                <w:i w:val="0"/>
                <w:vertAlign w:val="subscript"/>
              </w:rPr>
              <w:t>5</w:t>
            </w:r>
            <w:r>
              <w:rPr>
                <w:rStyle w:val="Emphasis"/>
                <w:b/>
                <w:i w:val="0"/>
              </w:rPr>
              <w:t>-ts</w:t>
            </w:r>
          </w:p>
        </w:tc>
        <w:tc>
          <w:tcPr>
            <w:tcW w:w="1134" w:type="dxa"/>
          </w:tcPr>
          <w:p w:rsidR="00495942" w:rsidRDefault="00427ADD">
            <w:pPr>
              <w:jc w:val="center"/>
              <w:rPr>
                <w:rStyle w:val="Emphasis"/>
                <w:b/>
                <w:i w:val="0"/>
              </w:rPr>
            </w:pPr>
            <w:r>
              <w:rPr>
                <w:rStyle w:val="Emphasis"/>
                <w:b/>
                <w:i w:val="0"/>
              </w:rPr>
              <w:t>K</w:t>
            </w:r>
            <w:r>
              <w:rPr>
                <w:rStyle w:val="Emphasis"/>
                <w:b/>
                <w:i w:val="0"/>
                <w:vertAlign w:val="subscript"/>
              </w:rPr>
              <w:t>2</w:t>
            </w:r>
            <w:r>
              <w:rPr>
                <w:rStyle w:val="Emphasis"/>
                <w:b/>
                <w:i w:val="0"/>
              </w:rPr>
              <w:t>O-ts</w:t>
            </w:r>
          </w:p>
        </w:tc>
      </w:tr>
      <w:tr w:rsidR="00495942">
        <w:tc>
          <w:tcPr>
            <w:tcW w:w="567" w:type="dxa"/>
          </w:tcPr>
          <w:p w:rsidR="00495942" w:rsidRDefault="00427ADD">
            <w:pPr>
              <w:jc w:val="center"/>
              <w:rPr>
                <w:rStyle w:val="Emphasis"/>
                <w:i w:val="0"/>
              </w:rPr>
            </w:pPr>
            <w:r>
              <w:rPr>
                <w:rStyle w:val="Emphasis"/>
                <w:i w:val="0"/>
              </w:rPr>
              <w:t>01</w:t>
            </w:r>
          </w:p>
        </w:tc>
        <w:tc>
          <w:tcPr>
            <w:tcW w:w="2127" w:type="dxa"/>
          </w:tcPr>
          <w:p w:rsidR="00495942" w:rsidRDefault="00427ADD">
            <w:pPr>
              <w:jc w:val="both"/>
              <w:rPr>
                <w:rStyle w:val="Emphasis"/>
                <w:i w:val="0"/>
              </w:rPr>
            </w:pPr>
            <w:r>
              <w:rPr>
                <w:rStyle w:val="Emphasis"/>
                <w:i w:val="0"/>
              </w:rPr>
              <w:t>Phân lợn</w:t>
            </w:r>
          </w:p>
        </w:tc>
        <w:tc>
          <w:tcPr>
            <w:tcW w:w="1417" w:type="dxa"/>
          </w:tcPr>
          <w:p w:rsidR="00495942" w:rsidRDefault="00427ADD">
            <w:pPr>
              <w:jc w:val="center"/>
              <w:rPr>
                <w:rStyle w:val="Emphasis"/>
                <w:i w:val="0"/>
              </w:rPr>
            </w:pPr>
            <w:r>
              <w:rPr>
                <w:rStyle w:val="Emphasis"/>
                <w:i w:val="0"/>
              </w:rPr>
              <w:t>26,53</w:t>
            </w:r>
          </w:p>
        </w:tc>
        <w:tc>
          <w:tcPr>
            <w:tcW w:w="1418" w:type="dxa"/>
          </w:tcPr>
          <w:p w:rsidR="00495942" w:rsidRDefault="00427ADD">
            <w:pPr>
              <w:jc w:val="center"/>
              <w:rPr>
                <w:rStyle w:val="Emphasis"/>
                <w:i w:val="0"/>
              </w:rPr>
            </w:pPr>
            <w:r>
              <w:rPr>
                <w:rStyle w:val="Emphasis"/>
                <w:i w:val="0"/>
              </w:rPr>
              <w:t>8,97</w:t>
            </w:r>
          </w:p>
        </w:tc>
        <w:tc>
          <w:tcPr>
            <w:tcW w:w="992" w:type="dxa"/>
          </w:tcPr>
          <w:p w:rsidR="00495942" w:rsidRDefault="00427ADD">
            <w:pPr>
              <w:jc w:val="center"/>
              <w:rPr>
                <w:rStyle w:val="Emphasis"/>
                <w:i w:val="0"/>
              </w:rPr>
            </w:pPr>
            <w:r>
              <w:rPr>
                <w:rStyle w:val="Emphasis"/>
                <w:i w:val="0"/>
              </w:rPr>
              <w:t>0,17</w:t>
            </w:r>
          </w:p>
        </w:tc>
        <w:tc>
          <w:tcPr>
            <w:tcW w:w="1134" w:type="dxa"/>
          </w:tcPr>
          <w:p w:rsidR="00495942" w:rsidRDefault="00427ADD">
            <w:pPr>
              <w:jc w:val="center"/>
              <w:rPr>
                <w:rStyle w:val="Emphasis"/>
                <w:i w:val="0"/>
              </w:rPr>
            </w:pPr>
            <w:r>
              <w:rPr>
                <w:rStyle w:val="Emphasis"/>
                <w:i w:val="0"/>
              </w:rPr>
              <w:t>0,15</w:t>
            </w:r>
          </w:p>
        </w:tc>
        <w:tc>
          <w:tcPr>
            <w:tcW w:w="1134" w:type="dxa"/>
          </w:tcPr>
          <w:p w:rsidR="00495942" w:rsidRDefault="00427ADD">
            <w:pPr>
              <w:jc w:val="center"/>
              <w:rPr>
                <w:rStyle w:val="Emphasis"/>
                <w:i w:val="0"/>
              </w:rPr>
            </w:pPr>
            <w:r>
              <w:rPr>
                <w:rStyle w:val="Emphasis"/>
                <w:i w:val="0"/>
              </w:rPr>
              <w:t>0,26</w:t>
            </w:r>
          </w:p>
        </w:tc>
      </w:tr>
      <w:tr w:rsidR="00495942">
        <w:tc>
          <w:tcPr>
            <w:tcW w:w="567" w:type="dxa"/>
          </w:tcPr>
          <w:p w:rsidR="00495942" w:rsidRDefault="00427ADD">
            <w:pPr>
              <w:jc w:val="center"/>
              <w:rPr>
                <w:rStyle w:val="Emphasis"/>
                <w:i w:val="0"/>
              </w:rPr>
            </w:pPr>
            <w:r>
              <w:rPr>
                <w:rStyle w:val="Emphasis"/>
                <w:i w:val="0"/>
              </w:rPr>
              <w:t>02</w:t>
            </w:r>
          </w:p>
        </w:tc>
        <w:tc>
          <w:tcPr>
            <w:tcW w:w="2127" w:type="dxa"/>
          </w:tcPr>
          <w:p w:rsidR="00495942" w:rsidRDefault="00427ADD">
            <w:pPr>
              <w:jc w:val="both"/>
              <w:rPr>
                <w:rStyle w:val="Emphasis"/>
                <w:i w:val="0"/>
              </w:rPr>
            </w:pPr>
            <w:r>
              <w:rPr>
                <w:rStyle w:val="Emphasis"/>
                <w:i w:val="0"/>
              </w:rPr>
              <w:t>Phân gia cầm</w:t>
            </w:r>
          </w:p>
        </w:tc>
        <w:tc>
          <w:tcPr>
            <w:tcW w:w="1417" w:type="dxa"/>
          </w:tcPr>
          <w:p w:rsidR="00495942" w:rsidRDefault="00427ADD">
            <w:pPr>
              <w:jc w:val="center"/>
              <w:rPr>
                <w:rStyle w:val="Emphasis"/>
                <w:i w:val="0"/>
              </w:rPr>
            </w:pPr>
            <w:r>
              <w:rPr>
                <w:rStyle w:val="Emphasis"/>
                <w:i w:val="0"/>
              </w:rPr>
              <w:t>2,64</w:t>
            </w:r>
          </w:p>
        </w:tc>
        <w:tc>
          <w:tcPr>
            <w:tcW w:w="1418" w:type="dxa"/>
          </w:tcPr>
          <w:p w:rsidR="00495942" w:rsidRDefault="00427ADD">
            <w:pPr>
              <w:jc w:val="center"/>
              <w:rPr>
                <w:rStyle w:val="Emphasis"/>
                <w:i w:val="0"/>
              </w:rPr>
            </w:pPr>
            <w:r>
              <w:rPr>
                <w:rStyle w:val="Emphasis"/>
                <w:i w:val="0"/>
              </w:rPr>
              <w:t>0,45</w:t>
            </w:r>
          </w:p>
        </w:tc>
        <w:tc>
          <w:tcPr>
            <w:tcW w:w="992" w:type="dxa"/>
          </w:tcPr>
          <w:p w:rsidR="00495942" w:rsidRDefault="00427ADD">
            <w:pPr>
              <w:jc w:val="center"/>
              <w:rPr>
                <w:rStyle w:val="Emphasis"/>
                <w:i w:val="0"/>
              </w:rPr>
            </w:pPr>
            <w:r>
              <w:rPr>
                <w:rStyle w:val="Emphasis"/>
                <w:i w:val="0"/>
              </w:rPr>
              <w:t>0,03</w:t>
            </w:r>
          </w:p>
        </w:tc>
        <w:tc>
          <w:tcPr>
            <w:tcW w:w="1134" w:type="dxa"/>
          </w:tcPr>
          <w:p w:rsidR="00495942" w:rsidRDefault="00427ADD">
            <w:pPr>
              <w:jc w:val="center"/>
              <w:rPr>
                <w:rStyle w:val="Emphasis"/>
                <w:i w:val="0"/>
              </w:rPr>
            </w:pPr>
            <w:r>
              <w:rPr>
                <w:rStyle w:val="Emphasis"/>
                <w:i w:val="0"/>
              </w:rPr>
              <w:t>0,01</w:t>
            </w:r>
          </w:p>
        </w:tc>
        <w:tc>
          <w:tcPr>
            <w:tcW w:w="1134" w:type="dxa"/>
          </w:tcPr>
          <w:p w:rsidR="00495942" w:rsidRDefault="00427ADD">
            <w:pPr>
              <w:jc w:val="center"/>
              <w:rPr>
                <w:rStyle w:val="Emphasis"/>
                <w:i w:val="0"/>
              </w:rPr>
            </w:pPr>
            <w:r>
              <w:rPr>
                <w:rStyle w:val="Emphasis"/>
                <w:i w:val="0"/>
              </w:rPr>
              <w:t>0,01</w:t>
            </w:r>
          </w:p>
        </w:tc>
      </w:tr>
      <w:tr w:rsidR="00495942">
        <w:tc>
          <w:tcPr>
            <w:tcW w:w="567" w:type="dxa"/>
          </w:tcPr>
          <w:p w:rsidR="00495942" w:rsidRDefault="00427ADD">
            <w:pPr>
              <w:jc w:val="center"/>
              <w:rPr>
                <w:rStyle w:val="Emphasis"/>
                <w:i w:val="0"/>
              </w:rPr>
            </w:pPr>
            <w:r>
              <w:rPr>
                <w:rStyle w:val="Emphasis"/>
                <w:i w:val="0"/>
              </w:rPr>
              <w:t>03</w:t>
            </w:r>
          </w:p>
        </w:tc>
        <w:tc>
          <w:tcPr>
            <w:tcW w:w="2127" w:type="dxa"/>
          </w:tcPr>
          <w:p w:rsidR="00495942" w:rsidRDefault="00427ADD">
            <w:pPr>
              <w:jc w:val="both"/>
              <w:rPr>
                <w:rStyle w:val="Emphasis"/>
                <w:i w:val="0"/>
              </w:rPr>
            </w:pPr>
            <w:r>
              <w:rPr>
                <w:rStyle w:val="Emphasis"/>
                <w:i w:val="0"/>
              </w:rPr>
              <w:t>Phân bò</w:t>
            </w:r>
          </w:p>
        </w:tc>
        <w:tc>
          <w:tcPr>
            <w:tcW w:w="1417" w:type="dxa"/>
          </w:tcPr>
          <w:p w:rsidR="00495942" w:rsidRDefault="00427ADD">
            <w:pPr>
              <w:jc w:val="center"/>
              <w:rPr>
                <w:rStyle w:val="Emphasis"/>
                <w:i w:val="0"/>
              </w:rPr>
            </w:pPr>
            <w:r>
              <w:rPr>
                <w:rStyle w:val="Emphasis"/>
                <w:i w:val="0"/>
              </w:rPr>
              <w:t>20,06</w:t>
            </w:r>
          </w:p>
        </w:tc>
        <w:tc>
          <w:tcPr>
            <w:tcW w:w="1418" w:type="dxa"/>
          </w:tcPr>
          <w:p w:rsidR="00495942" w:rsidRDefault="00427ADD">
            <w:pPr>
              <w:jc w:val="center"/>
              <w:rPr>
                <w:rStyle w:val="Emphasis"/>
                <w:i w:val="0"/>
              </w:rPr>
            </w:pPr>
            <w:r>
              <w:rPr>
                <w:rStyle w:val="Emphasis"/>
                <w:i w:val="0"/>
              </w:rPr>
              <w:t>5,26</w:t>
            </w:r>
          </w:p>
        </w:tc>
        <w:tc>
          <w:tcPr>
            <w:tcW w:w="992" w:type="dxa"/>
          </w:tcPr>
          <w:p w:rsidR="00495942" w:rsidRDefault="00427ADD">
            <w:pPr>
              <w:jc w:val="center"/>
              <w:rPr>
                <w:rStyle w:val="Emphasis"/>
                <w:i w:val="0"/>
              </w:rPr>
            </w:pPr>
            <w:r>
              <w:rPr>
                <w:rStyle w:val="Emphasis"/>
                <w:i w:val="0"/>
              </w:rPr>
              <w:t>0,07</w:t>
            </w:r>
          </w:p>
        </w:tc>
        <w:tc>
          <w:tcPr>
            <w:tcW w:w="1134" w:type="dxa"/>
          </w:tcPr>
          <w:p w:rsidR="00495942" w:rsidRDefault="00427ADD">
            <w:pPr>
              <w:jc w:val="center"/>
              <w:rPr>
                <w:rStyle w:val="Emphasis"/>
                <w:i w:val="0"/>
              </w:rPr>
            </w:pPr>
            <w:r>
              <w:rPr>
                <w:rStyle w:val="Emphasis"/>
                <w:i w:val="0"/>
              </w:rPr>
              <w:t>0,02</w:t>
            </w:r>
          </w:p>
        </w:tc>
        <w:tc>
          <w:tcPr>
            <w:tcW w:w="1134" w:type="dxa"/>
          </w:tcPr>
          <w:p w:rsidR="00495942" w:rsidRDefault="00427ADD">
            <w:pPr>
              <w:jc w:val="center"/>
              <w:rPr>
                <w:rStyle w:val="Emphasis"/>
                <w:i w:val="0"/>
              </w:rPr>
            </w:pPr>
            <w:r>
              <w:rPr>
                <w:rStyle w:val="Emphasis"/>
                <w:i w:val="0"/>
              </w:rPr>
              <w:t>0,16</w:t>
            </w:r>
          </w:p>
        </w:tc>
      </w:tr>
      <w:tr w:rsidR="00495942">
        <w:tc>
          <w:tcPr>
            <w:tcW w:w="567" w:type="dxa"/>
          </w:tcPr>
          <w:p w:rsidR="00495942" w:rsidRDefault="00427ADD">
            <w:pPr>
              <w:jc w:val="center"/>
              <w:rPr>
                <w:rStyle w:val="Emphasis"/>
                <w:i w:val="0"/>
              </w:rPr>
            </w:pPr>
            <w:r>
              <w:rPr>
                <w:rStyle w:val="Emphasis"/>
                <w:i w:val="0"/>
              </w:rPr>
              <w:t>04</w:t>
            </w:r>
          </w:p>
        </w:tc>
        <w:tc>
          <w:tcPr>
            <w:tcW w:w="2127" w:type="dxa"/>
          </w:tcPr>
          <w:p w:rsidR="00495942" w:rsidRDefault="00427ADD">
            <w:pPr>
              <w:jc w:val="both"/>
              <w:rPr>
                <w:rStyle w:val="Emphasis"/>
                <w:i w:val="0"/>
              </w:rPr>
            </w:pPr>
            <w:r>
              <w:rPr>
                <w:rStyle w:val="Emphasis"/>
                <w:i w:val="0"/>
              </w:rPr>
              <w:t>Phân trâu</w:t>
            </w:r>
          </w:p>
        </w:tc>
        <w:tc>
          <w:tcPr>
            <w:tcW w:w="1417" w:type="dxa"/>
          </w:tcPr>
          <w:p w:rsidR="00495942" w:rsidRDefault="00427ADD">
            <w:pPr>
              <w:jc w:val="center"/>
              <w:rPr>
                <w:rStyle w:val="Emphasis"/>
                <w:i w:val="0"/>
              </w:rPr>
            </w:pPr>
            <w:r>
              <w:rPr>
                <w:rStyle w:val="Emphasis"/>
                <w:i w:val="0"/>
              </w:rPr>
              <w:t>13,71</w:t>
            </w:r>
          </w:p>
        </w:tc>
        <w:tc>
          <w:tcPr>
            <w:tcW w:w="1418" w:type="dxa"/>
          </w:tcPr>
          <w:p w:rsidR="00495942" w:rsidRDefault="00427ADD">
            <w:pPr>
              <w:jc w:val="center"/>
              <w:rPr>
                <w:rStyle w:val="Emphasis"/>
                <w:i w:val="0"/>
              </w:rPr>
            </w:pPr>
            <w:r>
              <w:rPr>
                <w:rStyle w:val="Emphasis"/>
                <w:i w:val="0"/>
              </w:rPr>
              <w:t>2,43</w:t>
            </w:r>
          </w:p>
        </w:tc>
        <w:tc>
          <w:tcPr>
            <w:tcW w:w="992" w:type="dxa"/>
          </w:tcPr>
          <w:p w:rsidR="00495942" w:rsidRDefault="00427ADD">
            <w:pPr>
              <w:jc w:val="center"/>
              <w:rPr>
                <w:rStyle w:val="Emphasis"/>
                <w:i w:val="0"/>
              </w:rPr>
            </w:pPr>
            <w:r>
              <w:rPr>
                <w:rStyle w:val="Emphasis"/>
                <w:i w:val="0"/>
              </w:rPr>
              <w:t>0,04</w:t>
            </w:r>
          </w:p>
        </w:tc>
        <w:tc>
          <w:tcPr>
            <w:tcW w:w="1134" w:type="dxa"/>
          </w:tcPr>
          <w:p w:rsidR="00495942" w:rsidRDefault="00427ADD">
            <w:pPr>
              <w:jc w:val="center"/>
              <w:rPr>
                <w:rStyle w:val="Emphasis"/>
                <w:i w:val="0"/>
              </w:rPr>
            </w:pPr>
            <w:r>
              <w:rPr>
                <w:rStyle w:val="Emphasis"/>
                <w:i w:val="0"/>
              </w:rPr>
              <w:t>0,01</w:t>
            </w:r>
          </w:p>
        </w:tc>
        <w:tc>
          <w:tcPr>
            <w:tcW w:w="1134" w:type="dxa"/>
          </w:tcPr>
          <w:p w:rsidR="00495942" w:rsidRDefault="00427ADD">
            <w:pPr>
              <w:jc w:val="center"/>
              <w:rPr>
                <w:rStyle w:val="Emphasis"/>
                <w:i w:val="0"/>
              </w:rPr>
            </w:pPr>
            <w:r>
              <w:rPr>
                <w:rStyle w:val="Emphasis"/>
                <w:i w:val="0"/>
              </w:rPr>
              <w:t>0,15</w:t>
            </w:r>
          </w:p>
        </w:tc>
      </w:tr>
      <w:tr w:rsidR="00495942">
        <w:tc>
          <w:tcPr>
            <w:tcW w:w="567" w:type="dxa"/>
          </w:tcPr>
          <w:p w:rsidR="00495942" w:rsidRDefault="00495942">
            <w:pPr>
              <w:jc w:val="center"/>
              <w:rPr>
                <w:rStyle w:val="Emphasis"/>
                <w:b/>
                <w:i w:val="0"/>
              </w:rPr>
            </w:pPr>
          </w:p>
        </w:tc>
        <w:tc>
          <w:tcPr>
            <w:tcW w:w="2127" w:type="dxa"/>
          </w:tcPr>
          <w:p w:rsidR="00495942" w:rsidRDefault="00427ADD">
            <w:pPr>
              <w:jc w:val="both"/>
              <w:rPr>
                <w:rStyle w:val="Emphasis"/>
                <w:b/>
                <w:i w:val="0"/>
              </w:rPr>
            </w:pPr>
            <w:r>
              <w:rPr>
                <w:rStyle w:val="Emphasis"/>
                <w:b/>
                <w:i w:val="0"/>
              </w:rPr>
              <w:t>Tổng cộng</w:t>
            </w:r>
          </w:p>
        </w:tc>
        <w:tc>
          <w:tcPr>
            <w:tcW w:w="1417" w:type="dxa"/>
          </w:tcPr>
          <w:p w:rsidR="00495942" w:rsidRDefault="00427ADD">
            <w:pPr>
              <w:jc w:val="center"/>
              <w:rPr>
                <w:rStyle w:val="Emphasis"/>
                <w:b/>
                <w:i w:val="0"/>
              </w:rPr>
            </w:pPr>
            <w:r>
              <w:rPr>
                <w:rStyle w:val="Emphasis"/>
                <w:b/>
                <w:i w:val="0"/>
              </w:rPr>
              <w:t>62,94</w:t>
            </w:r>
          </w:p>
        </w:tc>
        <w:tc>
          <w:tcPr>
            <w:tcW w:w="1418" w:type="dxa"/>
          </w:tcPr>
          <w:p w:rsidR="00495942" w:rsidRDefault="00427ADD">
            <w:pPr>
              <w:jc w:val="center"/>
              <w:rPr>
                <w:rStyle w:val="Emphasis"/>
                <w:b/>
                <w:i w:val="0"/>
              </w:rPr>
            </w:pPr>
            <w:r>
              <w:rPr>
                <w:rStyle w:val="Emphasis"/>
                <w:b/>
                <w:i w:val="0"/>
              </w:rPr>
              <w:t>17,11</w:t>
            </w:r>
          </w:p>
        </w:tc>
        <w:tc>
          <w:tcPr>
            <w:tcW w:w="992" w:type="dxa"/>
          </w:tcPr>
          <w:p w:rsidR="00495942" w:rsidRDefault="00427ADD">
            <w:pPr>
              <w:jc w:val="center"/>
              <w:rPr>
                <w:rStyle w:val="Emphasis"/>
                <w:b/>
                <w:i w:val="0"/>
              </w:rPr>
            </w:pPr>
            <w:r>
              <w:rPr>
                <w:rStyle w:val="Emphasis"/>
                <w:b/>
                <w:i w:val="0"/>
              </w:rPr>
              <w:t>0,31</w:t>
            </w:r>
          </w:p>
        </w:tc>
        <w:tc>
          <w:tcPr>
            <w:tcW w:w="1134" w:type="dxa"/>
          </w:tcPr>
          <w:p w:rsidR="00495942" w:rsidRDefault="00427ADD">
            <w:pPr>
              <w:jc w:val="center"/>
              <w:rPr>
                <w:rStyle w:val="Emphasis"/>
                <w:b/>
                <w:i w:val="0"/>
              </w:rPr>
            </w:pPr>
            <w:r>
              <w:rPr>
                <w:rStyle w:val="Emphasis"/>
                <w:b/>
                <w:i w:val="0"/>
              </w:rPr>
              <w:t>0,19</w:t>
            </w:r>
          </w:p>
        </w:tc>
        <w:tc>
          <w:tcPr>
            <w:tcW w:w="1134" w:type="dxa"/>
          </w:tcPr>
          <w:p w:rsidR="00495942" w:rsidRDefault="00427ADD">
            <w:pPr>
              <w:jc w:val="center"/>
              <w:rPr>
                <w:rStyle w:val="Emphasis"/>
                <w:b/>
                <w:i w:val="0"/>
              </w:rPr>
            </w:pPr>
            <w:r>
              <w:rPr>
                <w:rStyle w:val="Emphasis"/>
                <w:b/>
                <w:i w:val="0"/>
              </w:rPr>
              <w:t>0,58</w:t>
            </w:r>
          </w:p>
        </w:tc>
      </w:tr>
    </w:tbl>
    <w:p w:rsidR="00495942" w:rsidRDefault="00495942">
      <w:pPr>
        <w:ind w:left="360"/>
        <w:jc w:val="both"/>
        <w:rPr>
          <w:lang w:val="de-DE"/>
        </w:rPr>
      </w:pPr>
    </w:p>
    <w:p w:rsidR="00495942" w:rsidRDefault="00427ADD">
      <w:pPr>
        <w:ind w:left="360"/>
        <w:jc w:val="both"/>
        <w:rPr>
          <w:lang w:val="de-DE"/>
        </w:rPr>
      </w:pPr>
      <w:r>
        <w:rPr>
          <w:lang w:val="de-DE"/>
        </w:rPr>
        <w:t xml:space="preserve">Như vậy, nếu tận dụng được nguồn chất thải chăn nuôi để sản xuất phân bón hữu cơ thì hàng năm có thể sản xuất được khoảng 17 triệu tấn phân bón hữu cơ, thay thế được khoảng 0,3 triệu tấn phân đạm, 0,19 triệu tấn phân lân và 0,58 triệu tấn phân Kali nhập khẩu. Mặt khác, việc tăng cường sử dụng phân bón hữu cơ sẽ nâng cao hiệu quả sử dụng phân bón vô cơ, qua đó giảm hơn nữa lượng phân bón hữu cơ nhập khẩu. </w:t>
      </w:r>
    </w:p>
    <w:p w:rsidR="00495942" w:rsidRDefault="00427ADD">
      <w:pPr>
        <w:pStyle w:val="ListParagraph"/>
        <w:numPr>
          <w:ilvl w:val="0"/>
          <w:numId w:val="1"/>
        </w:numPr>
        <w:spacing w:before="120" w:after="120"/>
        <w:jc w:val="both"/>
        <w:rPr>
          <w:b/>
          <w:lang w:val="es-ES"/>
        </w:rPr>
      </w:pPr>
      <w:r>
        <w:rPr>
          <w:b/>
          <w:lang w:val="es-ES"/>
        </w:rPr>
        <w:t>Dự án Hỗ trợ Nông nghiệp các bon thấp (LCASP) và các công nghệ xử lý chất thải chăn nuôi làm phân bón hữu cơ</w:t>
      </w:r>
    </w:p>
    <w:p w:rsidR="00495942" w:rsidRDefault="00427ADD">
      <w:pPr>
        <w:spacing w:before="120" w:after="120"/>
        <w:ind w:left="360"/>
        <w:jc w:val="both"/>
        <w:rPr>
          <w:bCs/>
          <w:lang w:val="it-IT"/>
        </w:rPr>
      </w:pPr>
      <w:r>
        <w:rPr>
          <w:bCs/>
          <w:lang w:val="es-ES"/>
        </w:rPr>
        <w:t xml:space="preserve">Dự án Hỗ trợ Nông nghiệp các bon thấp (LCASP) là dự án vay vốn của ADB có mã số 2968-VIE (SF), ký Hiệp định ngày 07/3/2013 có hiệu lực ngày 05/6/2013. Thời gian thực hiện dự án là 6 năm, kết thúc vào 30/6/2019. Dự án có tổng vốn vay là 26,45 triệu SDR (tương đương 37,29 triệu USD). Dự án được thực hiện tại 10 tỉnh là </w:t>
      </w:r>
      <w:r>
        <w:rPr>
          <w:bCs/>
          <w:lang w:val="sv-SE"/>
        </w:rPr>
        <w:t>Lào Cai, Sơn La, Phú Thọ, Bắc Giang, Nam Định, Hà Tĩnh, Bình Định, Tiền Giang, Bến Tre, Sóc Trăng</w:t>
      </w:r>
      <w:r>
        <w:rPr>
          <w:bCs/>
          <w:lang w:val="it-IT"/>
        </w:rPr>
        <w:t>.</w:t>
      </w:r>
    </w:p>
    <w:p w:rsidR="00495942" w:rsidRDefault="00427ADD">
      <w:pPr>
        <w:spacing w:before="120" w:after="120"/>
        <w:ind w:left="360"/>
        <w:jc w:val="both"/>
        <w:rPr>
          <w:bCs/>
          <w:lang w:val="it-IT"/>
        </w:rPr>
      </w:pPr>
      <w:r>
        <w:rPr>
          <w:bCs/>
          <w:lang w:val="it-IT"/>
        </w:rPr>
        <w:t>Dự án có mục tiêu chính là giảm thiểu ô nhiễm môi trường chăn nuôi bền vững thông qua các hoạt động sử dụng chất thải chăn nuôi làm năng lượng sinh học và phân bón hữu cơ. Dự án có mục tiêu cụ thể là: (i) Sử dụng ít nhất 70% chất thải chăn nuôi để làm phân bón hữu cơ; (ii) Sử dụng ít nhất 80% khí ga sinh ra làm năng lượng sinh học; (iii) Giảm thời gian lao động của phụ nữ và trẻ em nông thôn xuống từ 1,8 – 2 giờ/ngày.</w:t>
      </w:r>
    </w:p>
    <w:p w:rsidR="00495942" w:rsidRDefault="00427ADD">
      <w:pPr>
        <w:spacing w:before="120" w:after="120"/>
        <w:ind w:left="360"/>
        <w:jc w:val="both"/>
        <w:rPr>
          <w:spacing w:val="4"/>
        </w:rPr>
      </w:pPr>
      <w:r>
        <w:rPr>
          <w:spacing w:val="4"/>
        </w:rPr>
        <w:t>Với quan điểm chủ đạo là coi chất thải chăn nuôi là “nguồn tài nguyên quý giá” cần được xử lý để tạo thu nhập bổ sung cho người dân, qua đó tạo động lực kinh tế để xử lý môi trường bền vững, dự án LCASP đã xây dựng các mô hình khai thác, sử dụng chất thải chăn nuôi làm phân bón hữu cơ như sau:</w:t>
      </w:r>
    </w:p>
    <w:p w:rsidR="00495942" w:rsidRDefault="00427ADD">
      <w:pPr>
        <w:pStyle w:val="ListParagraph"/>
        <w:numPr>
          <w:ilvl w:val="0"/>
          <w:numId w:val="23"/>
        </w:numPr>
        <w:spacing w:before="120" w:after="120"/>
        <w:jc w:val="both"/>
        <w:rPr>
          <w:spacing w:val="4"/>
        </w:rPr>
      </w:pPr>
      <w:r>
        <w:rPr>
          <w:spacing w:val="4"/>
        </w:rPr>
        <w:t>Mô hình chăn nuôi lợn thịt không xả thải ra môi trường kết hợp sản xuất phân bón hữu cơ (phù hợp với quy mô chăn nuôi gia trại và trang trại)</w:t>
      </w:r>
    </w:p>
    <w:p w:rsidR="00495942" w:rsidRDefault="00427ADD">
      <w:pPr>
        <w:pStyle w:val="ListParagraph"/>
        <w:numPr>
          <w:ilvl w:val="0"/>
          <w:numId w:val="23"/>
        </w:numPr>
        <w:spacing w:before="120" w:after="120"/>
        <w:jc w:val="both"/>
        <w:rPr>
          <w:spacing w:val="4"/>
        </w:rPr>
      </w:pPr>
      <w:r>
        <w:rPr>
          <w:spacing w:val="4"/>
        </w:rPr>
        <w:t>Mô hình sử dụng máy tách ép phân để xử lý môi trường chăn nuôi kết hợp sản xuất phân bón hữu cơ (phù hợp với quy mô chăn nuôi trang trại lớn).</w:t>
      </w:r>
    </w:p>
    <w:p w:rsidR="00495942" w:rsidRDefault="00427ADD">
      <w:pPr>
        <w:pStyle w:val="ListParagraph"/>
        <w:numPr>
          <w:ilvl w:val="0"/>
          <w:numId w:val="23"/>
        </w:numPr>
        <w:spacing w:before="120" w:after="120"/>
        <w:jc w:val="both"/>
        <w:rPr>
          <w:spacing w:val="4"/>
        </w:rPr>
      </w:pPr>
      <w:r>
        <w:rPr>
          <w:spacing w:val="4"/>
        </w:rPr>
        <w:t>Mô hình sử dụng nước thải sau bioga để tưới cho cây trồng (phù hợp với quy mô chăn nuôi gia trại và trang trại)</w:t>
      </w:r>
    </w:p>
    <w:p w:rsidR="00495942" w:rsidRDefault="00427ADD">
      <w:pPr>
        <w:pStyle w:val="ListParagraph"/>
        <w:numPr>
          <w:ilvl w:val="0"/>
          <w:numId w:val="23"/>
        </w:numPr>
        <w:spacing w:before="120" w:after="120"/>
        <w:jc w:val="both"/>
        <w:rPr>
          <w:spacing w:val="4"/>
        </w:rPr>
      </w:pPr>
      <w:r>
        <w:rPr>
          <w:spacing w:val="4"/>
        </w:rPr>
        <w:t>Mô hình sử dụng bể lắng nhiều ngăn để xử lý môi trường chăn nuôi kết hợp sản xuất phân bón hữu cơ (phù hợp với quy mô chăn nuôi nông hộ và gia trại)</w:t>
      </w:r>
    </w:p>
    <w:p w:rsidR="00495942" w:rsidRDefault="00427ADD">
      <w:pPr>
        <w:spacing w:before="120" w:after="120"/>
        <w:ind w:left="360"/>
        <w:jc w:val="both"/>
        <w:rPr>
          <w:b/>
          <w:lang w:val="es-ES"/>
        </w:rPr>
      </w:pPr>
      <w:r>
        <w:rPr>
          <w:spacing w:val="4"/>
        </w:rPr>
        <w:t>Các mô hình của dự án bước đầu đã đạt được kết quả khả quan do mang lại hiệu quả kinh tế cao và hiệu quả xử lý môi trường bền vững, được nông dân các tỉnh tham gia dự án hưởng ứng và đầu tư nhân rộng.</w:t>
      </w:r>
    </w:p>
    <w:p w:rsidR="00495942" w:rsidRDefault="00427ADD">
      <w:pPr>
        <w:pStyle w:val="ListParagraph"/>
        <w:numPr>
          <w:ilvl w:val="0"/>
          <w:numId w:val="1"/>
        </w:numPr>
        <w:spacing w:before="120" w:after="120"/>
        <w:jc w:val="both"/>
        <w:rPr>
          <w:b/>
          <w:lang w:val="es-ES"/>
        </w:rPr>
      </w:pPr>
      <w:r>
        <w:rPr>
          <w:b/>
          <w:lang w:val="es-ES"/>
        </w:rPr>
        <w:t>Kết quả thực hiện một số mô hình khai thác, sử dụng chất thải chăn nuôi sản xuất phân bón hữu cơ</w:t>
      </w:r>
    </w:p>
    <w:p w:rsidR="00495942" w:rsidRDefault="00427ADD">
      <w:pPr>
        <w:ind w:left="360"/>
        <w:jc w:val="both"/>
        <w:rPr>
          <w:b/>
          <w:i/>
          <w:lang w:val="es-ES"/>
        </w:rPr>
      </w:pPr>
      <w:r>
        <w:rPr>
          <w:b/>
          <w:i/>
          <w:lang w:val="es-ES"/>
        </w:rPr>
        <w:t xml:space="preserve">4.1. </w:t>
      </w:r>
      <w:r>
        <w:rPr>
          <w:b/>
          <w:i/>
          <w:spacing w:val="4"/>
        </w:rPr>
        <w:t>Mô hình chăn nuôi lợn thịt không xả thải ra môi trường kết hợp sản xuất phân bón hữu cơ (phù hợp với quy mô chăn nuôi gia trại và trang trại)</w:t>
      </w:r>
    </w:p>
    <w:p w:rsidR="00495942" w:rsidRDefault="00427ADD">
      <w:pPr>
        <w:spacing w:before="120" w:after="120"/>
        <w:ind w:left="360"/>
        <w:jc w:val="both"/>
        <w:rPr>
          <w:b/>
          <w:lang w:val="es-ES"/>
        </w:rPr>
      </w:pPr>
      <w:r>
        <w:rPr>
          <w:spacing w:val="4"/>
          <w:lang w:val="it-IT"/>
        </w:rPr>
        <w:t xml:space="preserve">Công nghệ chăn nuôi trên chuồng sàn không sử dụng nước tắm và làm vệ sinh chuồng trại đã được áp dụng nhiều năm ở những nước phát triển như Đan Mạch, Hà Lan... Đây là công nghệ chăn nuôi tiên tiến, giúp tăng cường khả năng thu gom chất thải nhằm giảm ô nhiễm môi trường. Tuy nhiên, không hiểu vì một lý do nào đó mà công nghệ này chưa được áp dụng ở nước ta cho chăn nuôi lợn thịt. Nguyên tắc chính của công nghệ là sử dụng sàn có khe thoáng để thoát phân và nước tiểu của lợn xuống bể chứa phân ở phía dưới sàn chuồng. Phân lỏng ở dưới sàn chuồng sẽ nhanh chóng hình thành lớp váng (màng) trên bề mặt để ngăn không cho mùi hôi và khí độc bốc lên. Khi bể chứa phân đầy (thường khoảng 28 - 30 ngày) thì sẽ mở van xả chất thải sử dụng áp lực âm để rút toàn bộ chất thải lỏng sang một bể chứa phân bên ngoài thông qua hệ thống ống dẫn. Chất thải lỏng đậm đặc sẽ được bơm lên bể ủ phân hoặc vào bồn để chuyên chở đi làm phân hữu cơ. </w:t>
      </w:r>
    </w:p>
    <w:p w:rsidR="00495942" w:rsidRDefault="00427ADD">
      <w:pPr>
        <w:spacing w:before="120" w:after="120"/>
        <w:ind w:firstLine="288"/>
        <w:jc w:val="both"/>
        <w:outlineLvl w:val="0"/>
        <w:rPr>
          <w:b/>
          <w:color w:val="000000"/>
          <w:lang w:val="it-IT"/>
        </w:rPr>
      </w:pPr>
      <w:r>
        <w:rPr>
          <w:b/>
          <w:color w:val="000000"/>
          <w:lang w:val="vi-VN"/>
        </w:rPr>
        <w:t xml:space="preserve">Bảng </w:t>
      </w:r>
      <w:r>
        <w:rPr>
          <w:b/>
          <w:color w:val="000000"/>
          <w:lang w:val="it-IT"/>
        </w:rPr>
        <w:t>5</w:t>
      </w:r>
      <w:r>
        <w:rPr>
          <w:b/>
          <w:color w:val="000000"/>
          <w:lang w:val="vi-VN"/>
        </w:rPr>
        <w:t xml:space="preserve">: Phân tích hiệu quả kinh tế các mô hình </w:t>
      </w:r>
      <w:r>
        <w:rPr>
          <w:b/>
          <w:color w:val="000000"/>
          <w:lang w:val="it-IT"/>
        </w:rPr>
        <w:t xml:space="preserve">thử nghiệm chăn nuôi lợn trên chuồng sàn tiết kiệm nước </w:t>
      </w:r>
      <w:r>
        <w:rPr>
          <w:b/>
          <w:color w:val="000000"/>
          <w:lang w:val="vi-VN"/>
        </w:rPr>
        <w:t xml:space="preserve">tại </w:t>
      </w:r>
      <w:r>
        <w:rPr>
          <w:b/>
          <w:color w:val="000000"/>
          <w:lang w:val="it-IT"/>
        </w:rPr>
        <w:t>Bắc Giang</w:t>
      </w:r>
      <w:r>
        <w:rPr>
          <w:b/>
          <w:color w:val="000000"/>
          <w:lang w:val="vi-VN"/>
        </w:rPr>
        <w:t xml:space="preserve"> </w:t>
      </w:r>
      <w:r>
        <w:rPr>
          <w:b/>
          <w:color w:val="000000"/>
          <w:lang w:val="it-IT"/>
        </w:rPr>
        <w:t>và Phú Thọ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185"/>
        <w:gridCol w:w="2088"/>
        <w:gridCol w:w="1951"/>
      </w:tblGrid>
      <w:tr w:rsidR="00495942">
        <w:tc>
          <w:tcPr>
            <w:tcW w:w="6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b/>
                <w:lang w:val="pt-BR"/>
              </w:rPr>
            </w:pPr>
            <w:r>
              <w:rPr>
                <w:b/>
                <w:lang w:val="pt-BR"/>
              </w:rPr>
              <w:t>STT</w:t>
            </w:r>
          </w:p>
        </w:tc>
        <w:tc>
          <w:tcPr>
            <w:tcW w:w="429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b/>
                <w:lang w:val="pt-BR"/>
              </w:rPr>
              <w:t>Các chỉ tiêu nghiên cứu                                      (ô chuồng 50 con lợn)</w:t>
            </w:r>
          </w:p>
        </w:tc>
        <w:tc>
          <w:tcPr>
            <w:tcW w:w="4110" w:type="dxa"/>
            <w:gridSpan w:val="2"/>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rPr>
                <w:b/>
                <w:lang w:val="pt-BR"/>
              </w:rPr>
            </w:pPr>
            <w:r>
              <w:rPr>
                <w:b/>
                <w:lang w:val="pt-BR"/>
              </w:rPr>
              <w:t>Chi phí và thu nhập (triệu VNĐ)</w:t>
            </w:r>
          </w:p>
        </w:tc>
      </w:tr>
      <w:tr w:rsidR="00495942">
        <w:tc>
          <w:tcPr>
            <w:tcW w:w="670" w:type="dxa"/>
            <w:vMerge/>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outlineLvl w:val="0"/>
              <w:rPr>
                <w:lang w:val="pt-BR"/>
              </w:rPr>
            </w:pPr>
          </w:p>
        </w:tc>
        <w:tc>
          <w:tcPr>
            <w:tcW w:w="4292" w:type="dxa"/>
            <w:vMerge/>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outlineLvl w:val="0"/>
              <w:rPr>
                <w:lang w:val="pt-BR"/>
              </w:rPr>
            </w:pP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rPr>
                <w:b/>
                <w:lang w:val="vi-VN"/>
              </w:rPr>
            </w:pPr>
            <w:r>
              <w:rPr>
                <w:b/>
              </w:rPr>
              <w:t>Cải tạo chuồng cũ</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rPr>
                <w:b/>
              </w:rPr>
            </w:pPr>
            <w:r>
              <w:rPr>
                <w:b/>
              </w:rPr>
              <w:t>Làm chuồng</w:t>
            </w:r>
            <w:r>
              <w:rPr>
                <w:b/>
                <w:lang w:val="vi-VN"/>
              </w:rPr>
              <w:t xml:space="preserve"> </w:t>
            </w:r>
            <w:r>
              <w:rPr>
                <w:b/>
              </w:rPr>
              <w:t>mới</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lang w:val="pt-BR"/>
              </w:rPr>
              <w:t>01</w:t>
            </w: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 xml:space="preserve">Chi phí </w:t>
            </w:r>
            <w:r>
              <w:rPr>
                <w:lang w:val="vi-VN"/>
              </w:rPr>
              <w:t xml:space="preserve">đầu tư </w:t>
            </w:r>
            <w:r>
              <w:rPr>
                <w:lang w:val="pt-BR"/>
              </w:rPr>
              <w:t xml:space="preserve">chuồng sàn </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23,6</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57,8</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b/>
                <w:bCs/>
                <w:lang w:val="pt-BR"/>
              </w:rPr>
            </w:pPr>
            <w:r>
              <w:rPr>
                <w:lang w:val="pt-BR"/>
              </w:rPr>
              <w:t>02</w:t>
            </w: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vi-VN"/>
              </w:rPr>
            </w:pPr>
            <w:r>
              <w:rPr>
                <w:lang w:val="pt-BR"/>
              </w:rPr>
              <w:t>Chi phí</w:t>
            </w:r>
            <w:r>
              <w:rPr>
                <w:lang w:val="vi-VN"/>
              </w:rPr>
              <w:t xml:space="preserve"> </w:t>
            </w:r>
            <w:r>
              <w:rPr>
                <w:lang w:val="pt-BR"/>
              </w:rPr>
              <w:t>hằng năm</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rPr>
                <w:lang w:val="pt-BR"/>
              </w:rPr>
            </w:pPr>
            <w:r>
              <w:rPr>
                <w:lang w:val="pt-BR"/>
              </w:rPr>
              <w:t>9,37</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rPr>
                <w:lang w:val="pt-BR"/>
              </w:rPr>
            </w:pPr>
            <w:r>
              <w:rPr>
                <w:lang w:val="pt-BR"/>
              </w:rPr>
              <w:t>15,53</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outlineLvl w:val="0"/>
              <w:rPr>
                <w:lang w:val="pt-BR"/>
              </w:rPr>
            </w:pP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vi-VN"/>
              </w:rPr>
            </w:pPr>
            <w:r>
              <w:rPr>
                <w:lang w:val="vi-VN"/>
              </w:rPr>
              <w:t>Khấu hao (10%)</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2,36</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5,78</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outlineLvl w:val="0"/>
              <w:rPr>
                <w:lang w:val="pt-BR"/>
              </w:rPr>
            </w:pP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vi-VN"/>
              </w:rPr>
            </w:pPr>
            <w:r>
              <w:rPr>
                <w:lang w:val="vi-VN"/>
              </w:rPr>
              <w:t>Lãi suất vay (</w:t>
            </w:r>
            <w:r>
              <w:rPr>
                <w:lang w:val="pt-BR"/>
              </w:rPr>
              <w:t>8</w:t>
            </w:r>
            <w:r>
              <w:rPr>
                <w:lang w:val="vi-VN"/>
              </w:rPr>
              <w:t>%)</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1,88</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4,62</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outlineLvl w:val="0"/>
              <w:rPr>
                <w:lang w:val="pt-BR"/>
              </w:rPr>
            </w:pP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Nguyên vật liệu để ủ phân hữu cơ</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rPr>
                <w:lang w:val="pt-BR"/>
              </w:rPr>
            </w:pPr>
            <w:r>
              <w:rPr>
                <w:lang w:val="pt-BR"/>
              </w:rPr>
              <w:t>5,13</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rPr>
                <w:lang w:val="pt-BR"/>
              </w:rPr>
            </w:pPr>
            <w:r>
              <w:rPr>
                <w:lang w:val="pt-BR"/>
              </w:rPr>
              <w:t>5,13</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b/>
                <w:bCs/>
                <w:lang w:val="pt-BR"/>
              </w:rPr>
            </w:pPr>
            <w:r>
              <w:rPr>
                <w:lang w:val="pt-BR"/>
              </w:rPr>
              <w:t>03</w:t>
            </w: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pPr>
            <w:r>
              <w:rPr>
                <w:lang w:val="vi-VN"/>
              </w:rPr>
              <w:t xml:space="preserve">Doanh thu </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40</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40</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outlineLvl w:val="0"/>
              <w:rPr>
                <w:lang w:val="pt-BR"/>
              </w:rPr>
            </w:pP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Tiết kiệm nhân công vệ sinh chuồng trại (10 công/ tháng)</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20</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20</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outlineLvl w:val="0"/>
              <w:rPr>
                <w:lang w:val="pt-BR"/>
              </w:rPr>
            </w:pP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Bán phân bón hữu cơ (1.000 đ/ kg)</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20</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20</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b/>
                <w:bCs/>
                <w:lang w:val="pt-BR"/>
              </w:rPr>
            </w:pPr>
            <w:r>
              <w:rPr>
                <w:lang w:val="pt-BR"/>
              </w:rPr>
              <w:t>04</w:t>
            </w: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vi-VN"/>
              </w:rPr>
            </w:pPr>
            <w:r>
              <w:rPr>
                <w:lang w:val="vi-VN"/>
              </w:rPr>
              <w:t xml:space="preserve">Lợi nhuận </w:t>
            </w:r>
            <w:r>
              <w:t>hằng</w:t>
            </w:r>
            <w:r>
              <w:rPr>
                <w:lang w:val="vi-VN"/>
              </w:rPr>
              <w:t xml:space="preserve"> năm</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30,63</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24,47</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b/>
                <w:bCs/>
                <w:lang w:val="pt-BR"/>
              </w:rPr>
            </w:pPr>
            <w:r>
              <w:rPr>
                <w:lang w:val="pt-BR"/>
              </w:rPr>
              <w:t>05</w:t>
            </w: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Tỷ suất lợi nhuận (ROI)</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rPr>
                <w:lang w:val="pt-BR"/>
              </w:rPr>
            </w:pPr>
            <w:r>
              <w:rPr>
                <w:lang w:val="pt-BR"/>
              </w:rPr>
              <w:t>129,8%</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42,3%</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b/>
                <w:bCs/>
                <w:lang w:val="pt-BR"/>
              </w:rPr>
            </w:pPr>
            <w:r>
              <w:rPr>
                <w:lang w:val="pt-BR"/>
              </w:rPr>
              <w:t>06</w:t>
            </w:r>
          </w:p>
        </w:tc>
        <w:tc>
          <w:tcPr>
            <w:tcW w:w="4292"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Thời gian hoàn vốn (năm)</w:t>
            </w:r>
          </w:p>
        </w:tc>
        <w:tc>
          <w:tcPr>
            <w:tcW w:w="2126"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0,7</w:t>
            </w:r>
          </w:p>
        </w:tc>
        <w:tc>
          <w:tcPr>
            <w:tcW w:w="1984" w:type="dxa"/>
            <w:tcBorders>
              <w:top w:val="single" w:sz="8" w:space="0" w:color="auto"/>
              <w:left w:val="single" w:sz="8" w:space="0" w:color="auto"/>
              <w:bottom w:val="single" w:sz="8" w:space="0" w:color="auto"/>
              <w:right w:val="single" w:sz="8" w:space="0" w:color="auto"/>
            </w:tcBorders>
            <w:vAlign w:val="center"/>
          </w:tcPr>
          <w:p w:rsidR="00495942" w:rsidRDefault="00427ADD">
            <w:pPr>
              <w:spacing w:before="40" w:after="40"/>
              <w:jc w:val="center"/>
              <w:outlineLvl w:val="0"/>
            </w:pPr>
            <w:r>
              <w:t>1,9</w:t>
            </w:r>
          </w:p>
        </w:tc>
      </w:tr>
    </w:tbl>
    <w:p w:rsidR="00495942" w:rsidRDefault="00427ADD">
      <w:pPr>
        <w:pStyle w:val="ListParagraph"/>
        <w:rPr>
          <w:b/>
          <w:lang w:val="es-ES"/>
        </w:rPr>
      </w:pPr>
      <w:r>
        <w:rPr>
          <w:i/>
          <w:lang w:val="nl-NL"/>
        </w:rPr>
        <w:t>* Trại ông Tô Hiến Thành, thôn Danh Thượng 2, xã Danh Thắng, huyện Hiệp Hòa, Bắc Giang (cải tạo chuồng) và trại ông Vũ Đình Tuấn, thôn 4, xã Vụ Quang, huyện Đoan Hùng, Phú Thọ (làm chuồng mới).</w:t>
      </w:r>
    </w:p>
    <w:p w:rsidR="00495942" w:rsidRDefault="00427ADD">
      <w:pPr>
        <w:spacing w:before="120" w:after="120"/>
        <w:ind w:left="360"/>
        <w:jc w:val="both"/>
        <w:rPr>
          <w:spacing w:val="4"/>
          <w:lang w:val="it-IT"/>
        </w:rPr>
      </w:pPr>
      <w:r>
        <w:rPr>
          <w:spacing w:val="4"/>
          <w:lang w:val="it-IT"/>
        </w:rPr>
        <w:t>Thực tế theo dõi mô hình thử nghiệm của dự án tại các tỉnh Bắc Giang và Phú Thọ cho thấy, mô hình nuôi lợn trên chuồng sàn tiết kiệm nước của dự án đã đem lại hiệu quả kinh tế và môi trường vượt trội ở các quy mô chăn nuôi nhỏ và vừa. Với chi phí đầu tư khoảng 23 triệu đồng để cải tạo và khoảng 60 triệu đồng để làm mới một ô chuồng 50 lợn, người chăn nuôi đã thu lợi nhuận cao từ tiết kiệm tiền thuê nhân công vệ sinh chuồng trại, tiền thuốc kháng sinh, tiền bán phân hữu cơ ... khoảng 0,6 triệu đồng/con lợn. Chi tiết về tính toán hiệu quả kinh tế của mô hình nuôi lợn trên chuồng sàn tại Bắc Giang được trình bày trong Bảng 5. Về hiệu quả môi trường đã được khẳng định là tối ưu vì mô hình này có thể giúp thu gom hết chất thải chăn nuôi để làm phân bón hữu cơ, không xả chất thải chăn nuôi ra môi trường gây ô nhiễm. Do chăn nuôi trên chuồng sàn giúp người chăn nuôi không phải xả thải ra môi trường, phát sinh mùi hôi ít hơn so với chăn nuôi truyền thống nên đã không phát sinh mâu thuẫn trong cộng đồng dân cư, đem lại hiệu quả xã hội rất tốt. Nếu chăn nuôi nông hộ và gia trại áp dụng công nghệ chăn nuôi này kết hợp với sử dụng chế phẩm vi sinh để xử lý mùi hôi thì sẽ giải quyết triệt để vấn đề ô nhiễm môi trường và các hệ lụy về xã hội do chăn nuôi lợn gây ra như hiện nay. Trong bối cảnh dịch tả lợn châu Phi đang lây lan nhanh chóng như hiện nay, việc quản lý tốt nguồn chất thải chăn nuôi sẽ góp phần làm giảm lây lan dịch bệnh cho đàn lợn.</w:t>
      </w:r>
    </w:p>
    <w:p w:rsidR="00495942" w:rsidRDefault="00427ADD">
      <w:pPr>
        <w:ind w:left="360"/>
        <w:jc w:val="both"/>
        <w:rPr>
          <w:spacing w:val="4"/>
          <w:lang w:val="it-IT"/>
        </w:rPr>
      </w:pPr>
      <w:r>
        <w:rPr>
          <w:noProof/>
          <w:spacing w:val="4"/>
          <w:lang w:val="vi-VN" w:eastAsia="vi-VN"/>
        </w:rPr>
        <w:drawing>
          <wp:inline distT="0" distB="0" distL="0" distR="0">
            <wp:extent cx="5252830" cy="2989150"/>
            <wp:effectExtent l="0" t="0" r="5080" b="190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5252830" cy="2989150"/>
                    </a:xfrm>
                    <a:prstGeom prst="rect">
                      <a:avLst/>
                    </a:prstGeom>
                  </pic:spPr>
                </pic:pic>
              </a:graphicData>
            </a:graphic>
          </wp:inline>
        </w:drawing>
      </w:r>
    </w:p>
    <w:p w:rsidR="00495942" w:rsidRDefault="00495942">
      <w:pPr>
        <w:ind w:left="360"/>
        <w:jc w:val="both"/>
        <w:rPr>
          <w:spacing w:val="4"/>
          <w:lang w:val="it-IT"/>
        </w:rPr>
      </w:pPr>
    </w:p>
    <w:p w:rsidR="00495942" w:rsidRDefault="00427ADD">
      <w:pPr>
        <w:ind w:left="360"/>
        <w:jc w:val="center"/>
        <w:rPr>
          <w:spacing w:val="4"/>
          <w:lang w:val="it-IT"/>
        </w:rPr>
      </w:pPr>
      <w:r>
        <w:rPr>
          <w:i/>
          <w:spacing w:val="4"/>
          <w:lang w:val="it-IT"/>
        </w:rPr>
        <w:t>Hình 1: Mô hình chăn nuôi lợn thịt không xả thải</w:t>
      </w:r>
    </w:p>
    <w:p w:rsidR="00495942" w:rsidRDefault="00427ADD">
      <w:pPr>
        <w:spacing w:before="120" w:after="120"/>
        <w:ind w:left="360"/>
        <w:jc w:val="both"/>
        <w:rPr>
          <w:spacing w:val="4"/>
          <w:lang w:val="it-IT"/>
        </w:rPr>
      </w:pPr>
      <w:r>
        <w:rPr>
          <w:spacing w:val="4"/>
          <w:lang w:val="it-IT"/>
        </w:rPr>
        <w:t>Mô hình gồm 3 bước: (i) Nuôi lợn trên chuồng sàn, không sử dụng nước tắm và vệ sinh lợn, làm mát lợn bằng các biện pháp không sử dụng nước; (ii) Sau mỗi lứa lợn, rút toàn bộ chất thải lỏng ở hầm dưới sàn chuồng vào bể chứa phân lỏng thông qua hệ thống ống dẫn sử dụng áp lực âm; (iii) Bơm toàn bộ chất thải lỏng từ bể chứa lên bể ủ, phối trộn với than bùn hoặc phụ phẩm trồng trọt để làm phân bón hữu cơ.</w:t>
      </w:r>
    </w:p>
    <w:p w:rsidR="00495942" w:rsidRDefault="00427ADD">
      <w:pPr>
        <w:spacing w:before="120" w:after="120"/>
        <w:ind w:left="360"/>
        <w:jc w:val="both"/>
        <w:rPr>
          <w:b/>
          <w:i/>
          <w:lang w:val="es-ES"/>
        </w:rPr>
      </w:pPr>
      <w:r>
        <w:rPr>
          <w:b/>
          <w:i/>
          <w:lang w:val="es-ES"/>
        </w:rPr>
        <w:t xml:space="preserve">4.2. </w:t>
      </w:r>
      <w:r>
        <w:rPr>
          <w:b/>
          <w:i/>
          <w:spacing w:val="4"/>
        </w:rPr>
        <w:t>Mô hình sử dụng máy tách ép phân để xử lý môi trường chăn nuôi kết hợp sản xuất phân bón hữu cơ (phù hợp với quy mô chăn nuôi trang trại lớn)</w:t>
      </w:r>
    </w:p>
    <w:p w:rsidR="00495942" w:rsidRDefault="00427ADD">
      <w:pPr>
        <w:spacing w:before="120" w:after="120"/>
        <w:ind w:left="288"/>
        <w:jc w:val="both"/>
        <w:rPr>
          <w:spacing w:val="2"/>
          <w:lang w:val="it-IT"/>
        </w:rPr>
      </w:pPr>
      <w:r>
        <w:rPr>
          <w:spacing w:val="2"/>
          <w:lang w:val="it-IT"/>
        </w:rPr>
        <w:t xml:space="preserve">Công nghệ sử dụng máy tách ép phân đã được áp dụng trên thế giới hàng chục năm nay. Năm 2013, khi dự án LCASP bắt đầu triển khai đã tìm hiểu một số máy tách ép phân đã đưa vào sử dụng ở Việt Nam thì phát hiện ra hầu hết các trang trại sử dụng máy tách ép phân đều không biết cách sử dụng máy để đem lại hiệu quả tốt về kinh tế và môi trường. Nhiều trang trại đã đầu tư máy tách ép phân nhưng phải bỏ máy hoen gỉ vì một số lý do chính sau: (i) Máy tách ép phân nhập khẩu với giá thành rẻ hay bị hỏng vặt; (ii) Chăn nuôi lợn ở Việt Nam sử dụng quá nhiều nước nên nồng độ chất khô trong nước xả chuồng rất thấp (dưới 1%) trong khi máy tách ép phân hoạt động tối thiểu từ 3% và tối ưu ở nồng độ chất khô từ 6 - 12%; (iii) Chưa có quy trình hướng dẫn về tách ép phân, nhiều trang trại để phân lỏng hàng tuần mà không ép dẫn đến chất hữu cơ tan vào nước, chất rắn ép ra rất ít và chất lượng dinh dưỡng để làm phân bón không cao; (iv) Chưa có thị trường đầu ra cho phân ép; (v) Các trang trại của Việt Nam có quy mô chăn nuôi rất thấp (chỉ vài trăm đến vài ngàn con lợn) trong khi máy tách ép phân thường được thiết kế để sử dụng cho các trang trại từ 8.000 - 10.000 lợn, điều này dẫn đến hiệu quả sử dụng của máy tách ép phân cố định tại một trang trại rất thấp (trang trại khoảng 2.000 lợn thì 3 - 4 ngày chạy máy ép một lần, mỗi lần chạy máy chỉ 2 - 3 giờ). </w:t>
      </w:r>
    </w:p>
    <w:p w:rsidR="00495942" w:rsidRDefault="00427ADD">
      <w:pPr>
        <w:spacing w:before="120" w:after="120"/>
        <w:ind w:left="284"/>
        <w:jc w:val="both"/>
        <w:rPr>
          <w:lang w:val="it-IT"/>
        </w:rPr>
      </w:pPr>
      <w:r>
        <w:rPr>
          <w:lang w:val="it-IT"/>
        </w:rPr>
        <w:t>Để có thể áp dụng công nghệ tách ép phân hiệu quả ở nước ta, dự án LCASP đã tiến hành nghiên cứu, làm mô hình thử nghiệm nhằm khắc phục những hạn chế của công nghệ tại Việt Nam. Một số giải pháp được đề xuất như sau: (i) Sử dụng máy tách ép phân trục vít có tiêu chuẩn Châu Âu, có hệ thống tự động hóa nhằm giúp người chăn nuôi hạn chế phiền toái khi vận hành máy; (ii) Thiết kế bể lắng phù hợp nhằm tăng nồng độ chất khô trong chất thải lỏng trước khi ép, khuyến cáo người chăn nuôi tiết kiệm nước; (iii) Đưa ra quy trình sử dụng máy tách ép phân; (iv) Xây dựng chuỗi giá trị sử dụng phân ép làm phân bón hữu cơ nhằm tạo thị trường đầu ra cho phân ép; (v) Thử nghiệm mô hình máy tách ép phân di động nhằm nâng cao hiệu suất sử dụng máy, từ đó cải thiện hiệu quả kinh tế đầu tư máy tách ép phân.</w:t>
      </w:r>
    </w:p>
    <w:p w:rsidR="00495942" w:rsidRDefault="00427ADD">
      <w:pPr>
        <w:spacing w:before="120" w:after="120"/>
        <w:ind w:firstLine="288"/>
        <w:jc w:val="both"/>
        <w:outlineLvl w:val="0"/>
        <w:rPr>
          <w:b/>
          <w:lang w:val="vi-VN"/>
        </w:rPr>
      </w:pPr>
      <w:r>
        <w:rPr>
          <w:b/>
          <w:lang w:val="vi-VN"/>
        </w:rPr>
        <w:t>Bảng 6: Phân tích hiệu quả kinh tế các mô hình đầu tư máy tách ép phân tại Bắc Giang và Phú Thọ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134"/>
        <w:gridCol w:w="1134"/>
        <w:gridCol w:w="1275"/>
        <w:gridCol w:w="1134"/>
      </w:tblGrid>
      <w:tr w:rsidR="00495942">
        <w:trPr>
          <w:tblHeader/>
        </w:trPr>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ind w:left="-57" w:right="-57"/>
              <w:jc w:val="center"/>
              <w:outlineLvl w:val="0"/>
              <w:rPr>
                <w:b/>
                <w:lang w:val="pt-BR"/>
              </w:rPr>
            </w:pPr>
            <w:r>
              <w:rPr>
                <w:b/>
                <w:lang w:val="pt-BR"/>
              </w:rPr>
              <w:t>STT</w:t>
            </w:r>
          </w:p>
        </w:tc>
        <w:tc>
          <w:tcPr>
            <w:tcW w:w="3828"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b/>
                <w:lang w:val="pt-BR"/>
              </w:rPr>
            </w:pPr>
            <w:r>
              <w:rPr>
                <w:b/>
                <w:lang w:val="pt-BR"/>
              </w:rPr>
              <w:t>Các chỉ tiêu nghiên cứu</w:t>
            </w:r>
          </w:p>
        </w:tc>
        <w:tc>
          <w:tcPr>
            <w:tcW w:w="467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b/>
                <w:lang w:val="pt-BR"/>
              </w:rPr>
            </w:pPr>
            <w:r>
              <w:rPr>
                <w:b/>
                <w:lang w:val="pt-BR"/>
              </w:rPr>
              <w:t>Chi phí và thu nhập (triệu VNĐ)</w:t>
            </w:r>
          </w:p>
        </w:tc>
      </w:tr>
      <w:tr w:rsidR="00495942">
        <w:trPr>
          <w:tblHeader/>
        </w:trPr>
        <w:tc>
          <w:tcPr>
            <w:tcW w:w="567" w:type="dxa"/>
            <w:vMerge/>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60" w:after="60" w:line="280" w:lineRule="atLeast"/>
              <w:jc w:val="center"/>
              <w:outlineLvl w:val="0"/>
              <w:rPr>
                <w:lang w:val="pt-BR"/>
              </w:rPr>
            </w:pPr>
          </w:p>
        </w:tc>
        <w:tc>
          <w:tcPr>
            <w:tcW w:w="3828" w:type="dxa"/>
            <w:vMerge/>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60" w:after="60" w:line="280" w:lineRule="atLeast"/>
              <w:outlineLvl w:val="0"/>
              <w:rPr>
                <w:lang w:val="pt-BR"/>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ind w:left="-113" w:right="-113"/>
              <w:jc w:val="center"/>
              <w:rPr>
                <w:b/>
                <w:lang w:val="vi-VN"/>
              </w:rPr>
            </w:pPr>
            <w:r>
              <w:rPr>
                <w:b/>
                <w:lang w:val="vi-VN"/>
              </w:rPr>
              <w:t>Trại 1</w:t>
            </w:r>
          </w:p>
          <w:p w:rsidR="00495942" w:rsidRDefault="00427ADD">
            <w:pPr>
              <w:spacing w:before="60" w:after="60" w:line="280" w:lineRule="atLeast"/>
              <w:ind w:left="-113" w:right="-113"/>
              <w:jc w:val="center"/>
              <w:rPr>
                <w:b/>
                <w:lang w:val="vi-VN"/>
              </w:rPr>
            </w:pPr>
            <w:r>
              <w:rPr>
                <w:b/>
                <w:lang w:val="vi-VN"/>
              </w:rPr>
              <w:t>(1200 lợn)</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ind w:left="-113" w:right="-113"/>
              <w:jc w:val="center"/>
              <w:rPr>
                <w:b/>
                <w:lang w:val="vi-VN"/>
              </w:rPr>
            </w:pPr>
            <w:r>
              <w:rPr>
                <w:b/>
                <w:lang w:val="vi-VN"/>
              </w:rPr>
              <w:t>Trại 2 (2000 lợn)</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rPr>
                <w:b/>
                <w:lang w:val="vi-VN"/>
              </w:rPr>
            </w:pPr>
            <w:r>
              <w:rPr>
                <w:b/>
                <w:lang w:val="vi-VN"/>
              </w:rPr>
              <w:t>Trại 3 (3500 lợn)</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ind w:left="-113" w:right="-113"/>
              <w:jc w:val="center"/>
              <w:rPr>
                <w:b/>
                <w:lang w:val="vi-VN"/>
              </w:rPr>
            </w:pPr>
            <w:r>
              <w:rPr>
                <w:b/>
                <w:lang w:val="vi-VN"/>
              </w:rPr>
              <w:t>Trại 4 (4000 lợn)</w:t>
            </w:r>
          </w:p>
        </w:tc>
      </w:tr>
      <w:tr w:rsidR="00495942">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pt-BR"/>
              </w:rPr>
              <w:t>01</w:t>
            </w: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outlineLvl w:val="0"/>
              <w:rPr>
                <w:lang w:val="vi-VN"/>
              </w:rPr>
            </w:pPr>
            <w:r>
              <w:rPr>
                <w:lang w:val="pt-BR"/>
              </w:rPr>
              <w:t xml:space="preserve">Chi phí </w:t>
            </w:r>
            <w:r>
              <w:rPr>
                <w:lang w:val="vi-VN"/>
              </w:rPr>
              <w:t>đầu tư hệ thống tách ép phân</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vi-VN"/>
              </w:rPr>
            </w:pPr>
            <w:r>
              <w:rPr>
                <w:lang w:val="vi-VN"/>
              </w:rPr>
              <w:t>400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vi-VN"/>
              </w:rPr>
              <w:t>400</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vi-VN"/>
              </w:rPr>
              <w:t>400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vi-VN"/>
              </w:rPr>
              <w:t>400</w:t>
            </w:r>
          </w:p>
        </w:tc>
      </w:tr>
      <w:tr w:rsidR="00495942">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pt-BR"/>
              </w:rPr>
              <w:t>02</w:t>
            </w: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outlineLvl w:val="0"/>
              <w:rPr>
                <w:lang w:val="vi-VN"/>
              </w:rPr>
            </w:pPr>
            <w:r>
              <w:rPr>
                <w:lang w:val="pt-BR"/>
              </w:rPr>
              <w:t>Chi phí hằng năm</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vi-VN"/>
              </w:rPr>
            </w:pPr>
            <w:r>
              <w:rPr>
                <w:lang w:val="vi-VN"/>
              </w:rPr>
              <w:t>119,2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vi-VN"/>
              </w:rPr>
              <w:t>119,2</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vi-VN"/>
              </w:rPr>
              <w:t>119,2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vi-VN"/>
              </w:rPr>
              <w:t>119,2</w:t>
            </w:r>
          </w:p>
        </w:tc>
      </w:tr>
      <w:tr w:rsidR="00495942">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60" w:after="60" w:line="280" w:lineRule="atLeast"/>
              <w:jc w:val="center"/>
              <w:outlineLvl w:val="0"/>
              <w:rPr>
                <w:lang w:val="pt-BR"/>
              </w:rPr>
            </w:pP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outlineLvl w:val="0"/>
              <w:rPr>
                <w:lang w:val="pt-BR"/>
              </w:rPr>
            </w:pPr>
            <w:r>
              <w:rPr>
                <w:lang w:val="pt-BR"/>
              </w:rPr>
              <w:t>Vận hành bảo dưỡng (nhân công, tiền điện)</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bookmarkStart w:id="5" w:name="OLE_LINK1"/>
            <w:bookmarkStart w:id="6" w:name="OLE_LINK2"/>
            <w:r>
              <w:rPr>
                <w:lang w:val="pt-BR"/>
              </w:rPr>
              <w:t>32</w:t>
            </w:r>
            <w:bookmarkEnd w:id="5"/>
            <w:bookmarkEnd w:id="6"/>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vi-VN"/>
              </w:rPr>
            </w:pPr>
            <w:r>
              <w:rPr>
                <w:lang w:val="pt-BR"/>
              </w:rPr>
              <w:t>32</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vi-VN"/>
              </w:rPr>
            </w:pPr>
            <w:r>
              <w:rPr>
                <w:lang w:val="pt-BR"/>
              </w:rPr>
              <w:t>32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vi-VN"/>
              </w:rPr>
            </w:pPr>
            <w:r>
              <w:rPr>
                <w:lang w:val="pt-BR"/>
              </w:rPr>
              <w:t>32</w:t>
            </w:r>
          </w:p>
        </w:tc>
      </w:tr>
      <w:tr w:rsidR="00495942">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60" w:after="60" w:line="280" w:lineRule="atLeast"/>
              <w:jc w:val="center"/>
              <w:outlineLvl w:val="0"/>
              <w:rPr>
                <w:lang w:val="pt-BR"/>
              </w:rPr>
            </w:pP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outlineLvl w:val="0"/>
              <w:rPr>
                <w:lang w:val="vi-VN"/>
              </w:rPr>
            </w:pPr>
            <w:r>
              <w:rPr>
                <w:lang w:val="vi-VN"/>
              </w:rPr>
              <w:t>Khấu hao (10%)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vi-VN"/>
              </w:rPr>
            </w:pPr>
            <w:r>
              <w:rPr>
                <w:lang w:val="vi-VN"/>
              </w:rPr>
              <w:t>40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vi-VN"/>
              </w:rPr>
            </w:pPr>
            <w:r>
              <w:rPr>
                <w:lang w:val="vi-VN"/>
              </w:rPr>
              <w:t>40</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vi-VN"/>
              </w:rPr>
            </w:pPr>
            <w:r>
              <w:rPr>
                <w:lang w:val="vi-VN"/>
              </w:rPr>
              <w:t>40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vi-VN"/>
              </w:rPr>
            </w:pPr>
            <w:r>
              <w:rPr>
                <w:lang w:val="vi-VN"/>
              </w:rPr>
              <w:t>40</w:t>
            </w:r>
          </w:p>
        </w:tc>
      </w:tr>
      <w:tr w:rsidR="00495942">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60" w:after="60" w:line="280" w:lineRule="atLeast"/>
              <w:jc w:val="center"/>
              <w:outlineLvl w:val="0"/>
              <w:rPr>
                <w:lang w:val="pt-BR"/>
              </w:rPr>
            </w:pP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outlineLvl w:val="0"/>
              <w:rPr>
                <w:lang w:val="vi-VN"/>
              </w:rPr>
            </w:pPr>
            <w:r>
              <w:rPr>
                <w:lang w:val="vi-VN"/>
              </w:rPr>
              <w:t>Lãi suất vay (8%)</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32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32</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32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32</w:t>
            </w:r>
          </w:p>
        </w:tc>
      </w:tr>
      <w:tr w:rsidR="00495942">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pt-BR"/>
              </w:rPr>
              <w:t>03</w:t>
            </w: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outlineLvl w:val="0"/>
              <w:rPr>
                <w:lang w:val="vi-VN"/>
              </w:rPr>
            </w:pPr>
            <w:r>
              <w:rPr>
                <w:lang w:val="vi-VN"/>
              </w:rPr>
              <w:t>Doanh thu từ bán phân sau tách ép (giá phân 800 đ/kg)</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rPr>
                <w:lang w:val="vi-VN"/>
              </w:rPr>
              <w:t>95</w:t>
            </w:r>
            <w:r>
              <w:t>,2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158,4</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rPr>
                <w:lang w:val="vi-VN"/>
              </w:rPr>
              <w:t>27</w:t>
            </w:r>
            <w:r>
              <w:t>6,8</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316</w:t>
            </w:r>
          </w:p>
        </w:tc>
      </w:tr>
      <w:tr w:rsidR="00495942">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pt-BR"/>
              </w:rPr>
              <w:t>04</w:t>
            </w: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outlineLvl w:val="0"/>
              <w:rPr>
                <w:lang w:val="vi-VN"/>
              </w:rPr>
            </w:pPr>
            <w:r>
              <w:rPr>
                <w:lang w:val="vi-VN"/>
              </w:rPr>
              <w:t>Lợi nhuận hằng năm</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-24</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38,8</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157,6</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196,8</w:t>
            </w:r>
          </w:p>
        </w:tc>
      </w:tr>
      <w:tr w:rsidR="00495942">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pt-BR"/>
              </w:rPr>
              <w:t>05</w:t>
            </w: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outlineLvl w:val="0"/>
              <w:rPr>
                <w:lang w:val="pt-BR"/>
              </w:rPr>
            </w:pPr>
            <w:r>
              <w:rPr>
                <w:lang w:val="pt-BR"/>
              </w:rPr>
              <w:t>Tỷ suất sinh lời (ROI)</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-6%</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9,7%</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39,4%</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49,2%</w:t>
            </w:r>
          </w:p>
        </w:tc>
      </w:tr>
      <w:tr w:rsidR="00495942">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rPr>
                <w:lang w:val="pt-BR"/>
              </w:rPr>
            </w:pPr>
            <w:r>
              <w:rPr>
                <w:lang w:val="pt-BR"/>
              </w:rPr>
              <w:t>06</w:t>
            </w:r>
          </w:p>
        </w:tc>
        <w:tc>
          <w:tcPr>
            <w:tcW w:w="3828"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outlineLvl w:val="0"/>
              <w:rPr>
                <w:lang w:val="pt-BR"/>
              </w:rPr>
            </w:pPr>
            <w:r>
              <w:rPr>
                <w:lang w:val="pt-BR"/>
              </w:rPr>
              <w:t>Thời gian hoàn vốn (năm)</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12,8</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4,1</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1,9</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60" w:after="60" w:line="280" w:lineRule="atLeast"/>
              <w:jc w:val="center"/>
              <w:outlineLvl w:val="0"/>
            </w:pPr>
            <w:r>
              <w:t>1,6</w:t>
            </w:r>
          </w:p>
        </w:tc>
      </w:tr>
    </w:tbl>
    <w:p w:rsidR="00495942" w:rsidRDefault="00427ADD">
      <w:pPr>
        <w:ind w:left="284"/>
        <w:jc w:val="both"/>
        <w:rPr>
          <w:lang w:val="it-IT"/>
        </w:rPr>
      </w:pPr>
      <w:r>
        <w:rPr>
          <w:i/>
        </w:rPr>
        <w:t>*</w:t>
      </w:r>
      <w:r>
        <w:rPr>
          <w:i/>
          <w:lang w:val="vi-VN"/>
        </w:rPr>
        <w:t>Ghi chú: Trại 1 – ông Nguyễn Văn Dũng, sản lượng phân ép: 119 tấn/ năm, Bắc Giang; Trại 2 – bà Vũ Thị Hảo, Phú Thọ, sản lượng phân ép: 198 tấn/ năm; Trại 3 – ông Lê Văn Khiêm, Bắc Giang, sản lượng phân ép: 346 tấn/ năm; Trại 4 – ông Bùi Đức Luận, Phú Thọ, sản lượng phân ép: 395 tấn/ năm</w:t>
      </w:r>
    </w:p>
    <w:p w:rsidR="00495942" w:rsidRDefault="00427ADD">
      <w:pPr>
        <w:spacing w:before="120" w:after="120"/>
        <w:ind w:left="288"/>
        <w:jc w:val="both"/>
        <w:rPr>
          <w:lang w:val="it-IT"/>
        </w:rPr>
      </w:pPr>
      <w:r>
        <w:rPr>
          <w:lang w:val="it-IT"/>
        </w:rPr>
        <w:t>Do các giải pháp của dự án LCASP đã phần nào khắc phục được các hạn chế của công nghệ tách ép phân khi áp dụng ở nước ta nên các mô hình sử dụng máy tách ép phân của dự án đều vận hành hiệu quả và được các chủ trang trại đón nhận và nhân rộng. Bảng 6 cho thấy, hiệu quả kinh tế khi đầu tư máy tách ép phân vào các trang trại trên 2.000 lợn. Hiệu quả môi trường đã được người dân và các cấp chính quyền địa phương ghi nhận khi các chủ trang trại ở Hà Tĩnh, Sóc Trăng, ... đã được phép mở rộng quy mô chăn nuôi do mô hình của dự án đã giúp xử lý ô nhiễm môi trường. Hội đồng nhân dân một số địa phương đã và đang xem xét hỗ trợ tài chính cho các chủ trang trại khi đầu tư các máy tách ép phân theo mô hình của dự án LCASP (HĐND tỉnh Hà Tĩnh đang xem xét đề xuất hỗ trợ 70% chi phí thiết bị máy tách ép phân, huyện Can Lộc đồng ý hỗ trợ 150 triệu đồng cho các trang trại đầu tư máy tách ép phân). Nguồn phân ép đang được sử dụng để ủ phân compost hoặc làm nguyên liệu cung cấp cho các cơ sở sản xuất phân bón hữu cơ.</w:t>
      </w:r>
    </w:p>
    <w:p w:rsidR="00495942" w:rsidRDefault="00495942">
      <w:pPr>
        <w:spacing w:before="120" w:after="120"/>
        <w:ind w:left="288"/>
        <w:jc w:val="both"/>
        <w:rPr>
          <w:lang w:val="it-IT"/>
        </w:rPr>
      </w:pPr>
    </w:p>
    <w:p w:rsidR="00495942" w:rsidRDefault="00427ADD">
      <w:pPr>
        <w:ind w:left="284"/>
        <w:jc w:val="center"/>
        <w:rPr>
          <w:lang w:val="it-IT"/>
        </w:rPr>
      </w:pPr>
      <w:r>
        <w:rPr>
          <w:noProof/>
          <w:lang w:val="vi-VN" w:eastAsia="vi-VN"/>
        </w:rPr>
        <w:drawing>
          <wp:inline distT="0" distB="0" distL="0" distR="0">
            <wp:extent cx="4017645" cy="2255520"/>
            <wp:effectExtent l="0" t="0" r="1905"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srcRect/>
                    <a:stretch/>
                  </pic:blipFill>
                  <pic:spPr>
                    <a:xfrm>
                      <a:off x="0" y="0"/>
                      <a:ext cx="4017645" cy="2255520"/>
                    </a:xfrm>
                    <a:prstGeom prst="rect">
                      <a:avLst/>
                    </a:prstGeom>
                  </pic:spPr>
                </pic:pic>
              </a:graphicData>
            </a:graphic>
          </wp:inline>
        </w:drawing>
      </w:r>
    </w:p>
    <w:p w:rsidR="00495942" w:rsidRDefault="00495942">
      <w:pPr>
        <w:ind w:left="284"/>
        <w:jc w:val="both"/>
        <w:rPr>
          <w:lang w:val="it-IT"/>
        </w:rPr>
      </w:pPr>
    </w:p>
    <w:p w:rsidR="00495942" w:rsidRDefault="00427ADD">
      <w:pPr>
        <w:ind w:left="284"/>
        <w:jc w:val="center"/>
        <w:rPr>
          <w:lang w:val="it-IT"/>
        </w:rPr>
      </w:pPr>
      <w:r>
        <w:rPr>
          <w:i/>
          <w:lang w:val="vi-VN"/>
        </w:rPr>
        <w:t xml:space="preserve">Hình </w:t>
      </w:r>
      <w:r>
        <w:rPr>
          <w:i/>
        </w:rPr>
        <w:t>2</w:t>
      </w:r>
      <w:r>
        <w:rPr>
          <w:i/>
          <w:lang w:val="vi-VN"/>
        </w:rPr>
        <w:t xml:space="preserve">: Mô hình máy ép phân </w:t>
      </w:r>
      <w:r>
        <w:rPr>
          <w:i/>
        </w:rPr>
        <w:t>của</w:t>
      </w:r>
      <w:r>
        <w:rPr>
          <w:i/>
          <w:lang w:val="vi-VN"/>
        </w:rPr>
        <w:t xml:space="preserve"> dự án LCASP tại Sóc Trăng</w:t>
      </w:r>
    </w:p>
    <w:p w:rsidR="00495942" w:rsidRDefault="00427ADD">
      <w:pPr>
        <w:spacing w:before="120" w:after="120"/>
        <w:jc w:val="both"/>
        <w:rPr>
          <w:b/>
          <w:i/>
          <w:spacing w:val="4"/>
        </w:rPr>
      </w:pPr>
      <w:r>
        <w:rPr>
          <w:b/>
          <w:i/>
          <w:lang w:val="es-ES"/>
        </w:rPr>
        <w:t xml:space="preserve">4.3. </w:t>
      </w:r>
      <w:r>
        <w:rPr>
          <w:b/>
          <w:i/>
          <w:spacing w:val="4"/>
        </w:rPr>
        <w:t>Mô hình sử dụng nước thải sau bioga để tưới cho cây trồng (phù hợp với quy mô chăn nuôi gia trại và trang trại)</w:t>
      </w:r>
    </w:p>
    <w:p w:rsidR="00495942" w:rsidRDefault="00427ADD">
      <w:pPr>
        <w:spacing w:before="120" w:after="120"/>
        <w:ind w:left="288"/>
        <w:jc w:val="both"/>
        <w:rPr>
          <w:spacing w:val="4"/>
          <w:lang w:val="it-IT"/>
        </w:rPr>
      </w:pPr>
      <w:r>
        <w:rPr>
          <w:spacing w:val="4"/>
          <w:lang w:val="it-IT"/>
        </w:rPr>
        <w:t>Nước xả sau bioga được nhiều nước trên thế giới khuyến khích sử dụng để tưới cho cây trồng. Các nước như Trung Quốc, Ấn Độ... đã có chính sách hỗ trợ tài chính cho người dân sử dụng nước xả sau bioga cho mục đích trồng trọt để giảm phân bón hóa học. Ở nước ta, các dự án phi chính phủ của SNV, DANIDA cũng đưa ra khuyến cáo người dân sử dụng nước xả sau bioga cho mục đích tưới vườn. Tuy nhiên, ở cấp độ quốc gia, Chính phủ chưa đưa ra quy chuẩn hay tiêu chuẩn gì để khuyến khích người dân tái sử dụng nước xả sau bioga. Quy chuẩn QCVN 62 và QCVN 08 của Bộ Tài nguyên Môi trường quy định nước thải ra môi trường hoặc vào các hệ thống tưới tiêu rất cao dẫn đến nếu xử lý nước xả sau bioga theo các quy chuẩn đó thì sẽ không còn giá trị dinh dưỡng để tưới cho cây trồng nữa. Hiện tại, do yêu cầu của sản xuất, Quốc hội đang đề nghị Bộ Tài nguyên Môi trường phối hợp với Bộ Nông nghiệp và PTNT nghiên cứu điều chỉnh các quy định nhằm tạo điều kiện cho người dân và doanh nghiệp tái sử dụng nguồn tài nguyên chất thải chăn nuôi cho mục đích trồng trọt. Được sự đồng ý của Bộ Nông nghiệp và PTNT, dự án LCASP đã phối hợp với Cục Chăn nuôi và các đơn vị liên quan nhằm đề xuất điều chỉnh chính sách nhằm ban hành các quy định, quy chuẩn cho phép người dân sử dụng nước xả sau bioga cho mục đích trồng trọt trong khuôn viên các trang trại, nếu chủ trang trại thải nước xả chăn nuôi ra môi trường chung thì mới phải tuân thủ theo QCVN 62.</w:t>
      </w:r>
    </w:p>
    <w:p w:rsidR="00495942" w:rsidRDefault="00427ADD">
      <w:pPr>
        <w:spacing w:before="120" w:after="120"/>
        <w:ind w:left="288"/>
        <w:jc w:val="both"/>
        <w:rPr>
          <w:spacing w:val="4"/>
          <w:lang w:val="it-IT"/>
        </w:rPr>
      </w:pPr>
      <w:r>
        <w:rPr>
          <w:spacing w:val="4"/>
          <w:lang w:val="it-IT"/>
        </w:rPr>
        <w:t xml:space="preserve">Song song với tham gia đề xuất chính sách, dự án LCASP đã nghiên cứu và chỉ ra một số hạn chế cơ bản trong việc sử dụng nước xả sau bioga để tưới cho cây trồng ở nước ta như sau: (i) Nước xả sau bioga ở những hầm bioga quá tải thường có hàm lượng chất hữu cơ chưa phân hủy cao, có thể gây ô nhiễm môi trường và lây lan dịch bệnh; (ii) Mỗi loại cây trồng có độ mẫn cảm khi tưới bằng nước xả sau bioga khác nhau vào các giai đoạn sinh trưởng khác nhau (cây lúa, cây bưởi, ... cần hòa loãng trước khi tưới, cây cao su, cây keo, cỏ voi,... có thể chịu được nồng độ nước xả sau bioga đậm đặc) nhưng người dân chưa được hướng dẫn các quy trình xử lý và sử dụng nước xả sau bioga để tưới cho các loại cây trồng khác nhau; (iii) Nhiều trang trại chăn nuôi ở trong khu dân cư nên thiếu diện tích trồng trọt xung quanh đủ lớn để sử dụng hết nước xả sau bioga tưới cho cây trồng. </w:t>
      </w:r>
    </w:p>
    <w:p w:rsidR="00495942" w:rsidRDefault="00427ADD">
      <w:pPr>
        <w:spacing w:before="120" w:after="120"/>
        <w:ind w:left="288"/>
        <w:jc w:val="both"/>
        <w:rPr>
          <w:spacing w:val="4"/>
          <w:lang w:val="it-IT"/>
        </w:rPr>
      </w:pPr>
      <w:r>
        <w:rPr>
          <w:spacing w:val="4"/>
          <w:lang w:val="it-IT"/>
        </w:rPr>
        <w:t>Từ những phân tích trên, dự án LCASP đã triển khai một số mô hình sử dụng nước xả sau bioga để tưới cho cây trồng. Các mô hình này đã khắc phục được các hạn chế nêu trên: (i) Nước xả sau bioga cần được xử lý bằng vi sinh hoặc thời gian lưu trong hầm bioga đủ để hoai và tiêu diệt hết các mầm bệnh trước khi sử dụng để tưới; (ii) Dự án đã nghiên cứu và bước đầu đưa ra các hướng dẫn cho người dân sử dụng nước xả sau bioga để tưới cho các loại cây trồng khác nhau; (iii) Dự án khuyến cáo các trang trại chăn nuôi thành lập mới cần ở xa khu dân cư và có diện tích trồng trọt xung quanh đủ lớn để sử dụng hết nước xả sau bioga, khuyến khích các trang trại áp dụng công nghệ chăn nuôi tiết kiệm nước. Bảng 7 đã phân tích cụ thể hiệu quả kinh tế khi đầu tư mô hình sử dụng hệ thống tưới bằng nước xả sau bioga. Về hiệu quả môi trường và xã hội của mô hình cũng được ghi nhận rất tốt khi không có nước thải chăn nuôi xả ra nguồn nước chung gây ô nhiễm.</w:t>
      </w:r>
    </w:p>
    <w:p w:rsidR="00495942" w:rsidRDefault="00427ADD">
      <w:pPr>
        <w:spacing w:before="120" w:after="120"/>
        <w:ind w:firstLine="288"/>
        <w:jc w:val="both"/>
        <w:outlineLvl w:val="0"/>
        <w:rPr>
          <w:b/>
          <w:lang w:val="vi-VN"/>
        </w:rPr>
      </w:pPr>
      <w:r>
        <w:rPr>
          <w:b/>
          <w:lang w:val="vi-VN"/>
        </w:rPr>
        <w:t xml:space="preserve">Bảng 7: Phân tích hiệu quả kinh tế các mô hình đầu tư </w:t>
      </w:r>
      <w:r>
        <w:rPr>
          <w:b/>
          <w:lang w:val="it-IT"/>
        </w:rPr>
        <w:t>hệ thống tưới bằng nước xả sau bioga</w:t>
      </w:r>
      <w:r>
        <w:rPr>
          <w:b/>
          <w:lang w:val="vi-VN"/>
        </w:rPr>
        <w:t xml:space="preserve"> tại </w:t>
      </w:r>
      <w:r>
        <w:rPr>
          <w:b/>
          <w:lang w:val="it-IT"/>
        </w:rPr>
        <w:t>Bắc Giang</w:t>
      </w:r>
      <w:r>
        <w:rPr>
          <w:b/>
          <w:lang w:val="vi-VN"/>
        </w:rPr>
        <w:t xml:space="preserve"> </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0"/>
        <w:gridCol w:w="4565"/>
        <w:gridCol w:w="3659"/>
      </w:tblGrid>
      <w:tr w:rsidR="00495942">
        <w:trPr>
          <w:tblHeader/>
        </w:trPr>
        <w:tc>
          <w:tcPr>
            <w:tcW w:w="670" w:type="dxa"/>
            <w:shd w:val="clear" w:color="auto" w:fill="auto"/>
            <w:vAlign w:val="center"/>
          </w:tcPr>
          <w:p w:rsidR="00495942" w:rsidRDefault="00427ADD">
            <w:pPr>
              <w:spacing w:before="40" w:after="40"/>
              <w:jc w:val="center"/>
              <w:outlineLvl w:val="0"/>
              <w:rPr>
                <w:b/>
              </w:rPr>
            </w:pPr>
            <w:r>
              <w:rPr>
                <w:b/>
                <w:lang w:val="vi-VN"/>
              </w:rPr>
              <w:t>S</w:t>
            </w:r>
            <w:r>
              <w:rPr>
                <w:b/>
              </w:rPr>
              <w:t>TT</w:t>
            </w:r>
          </w:p>
        </w:tc>
        <w:tc>
          <w:tcPr>
            <w:tcW w:w="4717" w:type="dxa"/>
            <w:shd w:val="clear" w:color="auto" w:fill="auto"/>
            <w:vAlign w:val="center"/>
          </w:tcPr>
          <w:p w:rsidR="00495942" w:rsidRDefault="00427ADD">
            <w:pPr>
              <w:spacing w:before="40" w:after="40"/>
              <w:jc w:val="center"/>
              <w:outlineLvl w:val="0"/>
              <w:rPr>
                <w:b/>
                <w:lang w:val="pt-BR"/>
              </w:rPr>
            </w:pPr>
            <w:r>
              <w:rPr>
                <w:b/>
                <w:lang w:val="pt-BR"/>
              </w:rPr>
              <w:t>Các chỉ tiêu nghiên cứu</w:t>
            </w:r>
          </w:p>
        </w:tc>
        <w:tc>
          <w:tcPr>
            <w:tcW w:w="3792" w:type="dxa"/>
            <w:vAlign w:val="center"/>
          </w:tcPr>
          <w:p w:rsidR="00495942" w:rsidRDefault="00427ADD">
            <w:pPr>
              <w:spacing w:before="40" w:after="40"/>
              <w:jc w:val="center"/>
              <w:outlineLvl w:val="0"/>
              <w:rPr>
                <w:b/>
                <w:lang w:val="vi-VN"/>
              </w:rPr>
            </w:pPr>
            <w:r>
              <w:rPr>
                <w:b/>
                <w:lang w:val="pt-BR"/>
              </w:rPr>
              <w:t>Chi phí và thu nhập (triệu VNĐ)</w:t>
            </w:r>
          </w:p>
        </w:tc>
      </w:tr>
      <w:tr w:rsidR="00495942">
        <w:tc>
          <w:tcPr>
            <w:tcW w:w="670" w:type="dxa"/>
            <w:shd w:val="clear" w:color="auto" w:fill="auto"/>
            <w:vAlign w:val="center"/>
          </w:tcPr>
          <w:p w:rsidR="00495942" w:rsidRDefault="00427ADD">
            <w:pPr>
              <w:spacing w:before="40" w:after="40"/>
              <w:jc w:val="center"/>
              <w:outlineLvl w:val="0"/>
              <w:rPr>
                <w:lang w:val="pt-BR"/>
              </w:rPr>
            </w:pPr>
            <w:r>
              <w:rPr>
                <w:lang w:val="pt-BR"/>
              </w:rPr>
              <w:t>01</w:t>
            </w:r>
          </w:p>
        </w:tc>
        <w:tc>
          <w:tcPr>
            <w:tcW w:w="4717" w:type="dxa"/>
            <w:shd w:val="clear" w:color="auto" w:fill="auto"/>
            <w:vAlign w:val="center"/>
          </w:tcPr>
          <w:p w:rsidR="00495942" w:rsidRDefault="00427ADD">
            <w:pPr>
              <w:spacing w:before="40" w:after="40"/>
              <w:jc w:val="both"/>
              <w:outlineLvl w:val="0"/>
              <w:rPr>
                <w:lang w:val="vi-VN"/>
              </w:rPr>
            </w:pPr>
            <w:r>
              <w:rPr>
                <w:lang w:val="pt-BR"/>
              </w:rPr>
              <w:t xml:space="preserve">Chi phí </w:t>
            </w:r>
            <w:r>
              <w:rPr>
                <w:lang w:val="vi-VN"/>
              </w:rPr>
              <w:t>đầu tư hệ thống tưới tiết kiệm/ ha</w:t>
            </w:r>
          </w:p>
        </w:tc>
        <w:tc>
          <w:tcPr>
            <w:tcW w:w="3792" w:type="dxa"/>
            <w:vAlign w:val="center"/>
          </w:tcPr>
          <w:p w:rsidR="00495942" w:rsidRDefault="00427ADD">
            <w:pPr>
              <w:spacing w:before="40" w:after="40"/>
              <w:jc w:val="center"/>
              <w:outlineLvl w:val="0"/>
              <w:rPr>
                <w:lang w:val="vi-VN"/>
              </w:rPr>
            </w:pPr>
            <w:r>
              <w:rPr>
                <w:lang w:val="vi-VN"/>
              </w:rPr>
              <w:t>70</w:t>
            </w:r>
          </w:p>
        </w:tc>
      </w:tr>
      <w:tr w:rsidR="00495942">
        <w:tc>
          <w:tcPr>
            <w:tcW w:w="670" w:type="dxa"/>
            <w:shd w:val="clear" w:color="auto" w:fill="auto"/>
            <w:vAlign w:val="center"/>
          </w:tcPr>
          <w:p w:rsidR="00495942" w:rsidRDefault="00427ADD">
            <w:pPr>
              <w:spacing w:before="40" w:after="40"/>
              <w:jc w:val="center"/>
              <w:outlineLvl w:val="0"/>
              <w:rPr>
                <w:lang w:val="pt-BR"/>
              </w:rPr>
            </w:pPr>
            <w:r>
              <w:rPr>
                <w:lang w:val="pt-BR"/>
              </w:rPr>
              <w:t>02</w:t>
            </w:r>
          </w:p>
        </w:tc>
        <w:tc>
          <w:tcPr>
            <w:tcW w:w="4717" w:type="dxa"/>
            <w:shd w:val="clear" w:color="auto" w:fill="auto"/>
            <w:vAlign w:val="center"/>
          </w:tcPr>
          <w:p w:rsidR="00495942" w:rsidRDefault="00427ADD">
            <w:pPr>
              <w:spacing w:before="40" w:after="40"/>
              <w:jc w:val="both"/>
              <w:outlineLvl w:val="0"/>
              <w:rPr>
                <w:lang w:val="vi-VN"/>
              </w:rPr>
            </w:pPr>
            <w:r>
              <w:rPr>
                <w:lang w:val="pt-BR"/>
              </w:rPr>
              <w:t>Chi phí</w:t>
            </w:r>
            <w:r>
              <w:rPr>
                <w:lang w:val="vi-VN"/>
              </w:rPr>
              <w:t xml:space="preserve"> </w:t>
            </w:r>
            <w:r>
              <w:rPr>
                <w:lang w:val="pt-BR"/>
              </w:rPr>
              <w:t>hằng năm</w:t>
            </w:r>
          </w:p>
        </w:tc>
        <w:tc>
          <w:tcPr>
            <w:tcW w:w="3792" w:type="dxa"/>
            <w:vAlign w:val="center"/>
          </w:tcPr>
          <w:p w:rsidR="00495942" w:rsidRDefault="00427ADD">
            <w:pPr>
              <w:spacing w:before="40" w:after="40"/>
              <w:jc w:val="center"/>
              <w:outlineLvl w:val="0"/>
            </w:pPr>
            <w:r>
              <w:t>26,65</w:t>
            </w:r>
          </w:p>
        </w:tc>
      </w:tr>
      <w:tr w:rsidR="00495942">
        <w:tc>
          <w:tcPr>
            <w:tcW w:w="670" w:type="dxa"/>
            <w:shd w:val="clear" w:color="auto" w:fill="auto"/>
            <w:vAlign w:val="center"/>
          </w:tcPr>
          <w:p w:rsidR="00495942" w:rsidRDefault="00495942">
            <w:pPr>
              <w:spacing w:before="40" w:after="40"/>
              <w:jc w:val="center"/>
              <w:outlineLvl w:val="0"/>
              <w:rPr>
                <w:lang w:val="pt-BR"/>
              </w:rPr>
            </w:pPr>
          </w:p>
        </w:tc>
        <w:tc>
          <w:tcPr>
            <w:tcW w:w="4717" w:type="dxa"/>
            <w:shd w:val="clear" w:color="auto" w:fill="auto"/>
            <w:vAlign w:val="center"/>
          </w:tcPr>
          <w:p w:rsidR="00495942" w:rsidRDefault="00427ADD">
            <w:pPr>
              <w:spacing w:before="40" w:after="40"/>
              <w:jc w:val="both"/>
              <w:outlineLvl w:val="0"/>
              <w:rPr>
                <w:lang w:val="pt-BR"/>
              </w:rPr>
            </w:pPr>
            <w:r>
              <w:rPr>
                <w:lang w:val="pt-BR"/>
              </w:rPr>
              <w:t>Vận hành, bảo dưỡng, sửa chữa</w:t>
            </w:r>
          </w:p>
        </w:tc>
        <w:tc>
          <w:tcPr>
            <w:tcW w:w="3792" w:type="dxa"/>
            <w:vAlign w:val="center"/>
          </w:tcPr>
          <w:p w:rsidR="00495942" w:rsidRDefault="00427ADD">
            <w:pPr>
              <w:spacing w:before="40" w:after="40"/>
              <w:jc w:val="center"/>
              <w:outlineLvl w:val="0"/>
            </w:pPr>
            <w:r>
              <w:t>14,05</w:t>
            </w:r>
          </w:p>
        </w:tc>
      </w:tr>
      <w:tr w:rsidR="00495942">
        <w:tc>
          <w:tcPr>
            <w:tcW w:w="670" w:type="dxa"/>
            <w:shd w:val="clear" w:color="auto" w:fill="auto"/>
            <w:vAlign w:val="center"/>
          </w:tcPr>
          <w:p w:rsidR="00495942" w:rsidRDefault="00495942">
            <w:pPr>
              <w:spacing w:before="40" w:after="40"/>
              <w:jc w:val="center"/>
              <w:outlineLvl w:val="0"/>
              <w:rPr>
                <w:lang w:val="pt-BR"/>
              </w:rPr>
            </w:pPr>
          </w:p>
        </w:tc>
        <w:tc>
          <w:tcPr>
            <w:tcW w:w="4717" w:type="dxa"/>
            <w:shd w:val="clear" w:color="auto" w:fill="auto"/>
            <w:vAlign w:val="center"/>
          </w:tcPr>
          <w:p w:rsidR="00495942" w:rsidRDefault="00427ADD">
            <w:pPr>
              <w:spacing w:before="40" w:after="40"/>
              <w:jc w:val="both"/>
              <w:outlineLvl w:val="0"/>
            </w:pPr>
            <w:r>
              <w:t>Khấu hao (10%)</w:t>
            </w:r>
          </w:p>
        </w:tc>
        <w:tc>
          <w:tcPr>
            <w:tcW w:w="3792" w:type="dxa"/>
            <w:vAlign w:val="center"/>
          </w:tcPr>
          <w:p w:rsidR="00495942" w:rsidRDefault="00427ADD">
            <w:pPr>
              <w:spacing w:before="40" w:after="40"/>
              <w:jc w:val="center"/>
              <w:outlineLvl w:val="0"/>
            </w:pPr>
            <w:r>
              <w:t>7,0</w:t>
            </w:r>
          </w:p>
        </w:tc>
      </w:tr>
      <w:tr w:rsidR="00495942">
        <w:tc>
          <w:tcPr>
            <w:tcW w:w="670" w:type="dxa"/>
            <w:shd w:val="clear" w:color="auto" w:fill="auto"/>
            <w:vAlign w:val="center"/>
          </w:tcPr>
          <w:p w:rsidR="00495942" w:rsidRDefault="00495942">
            <w:pPr>
              <w:spacing w:before="40" w:after="40"/>
              <w:jc w:val="center"/>
              <w:outlineLvl w:val="0"/>
              <w:rPr>
                <w:lang w:val="pt-BR"/>
              </w:rPr>
            </w:pPr>
          </w:p>
        </w:tc>
        <w:tc>
          <w:tcPr>
            <w:tcW w:w="4717" w:type="dxa"/>
            <w:shd w:val="clear" w:color="auto" w:fill="auto"/>
            <w:vAlign w:val="center"/>
          </w:tcPr>
          <w:p w:rsidR="00495942" w:rsidRDefault="00427ADD">
            <w:pPr>
              <w:spacing w:before="40" w:after="40"/>
              <w:jc w:val="both"/>
              <w:outlineLvl w:val="0"/>
              <w:rPr>
                <w:lang w:val="vi-VN"/>
              </w:rPr>
            </w:pPr>
            <w:r>
              <w:rPr>
                <w:lang w:val="vi-VN"/>
              </w:rPr>
              <w:t>Lãi suất vay (8%)</w:t>
            </w:r>
          </w:p>
        </w:tc>
        <w:tc>
          <w:tcPr>
            <w:tcW w:w="3792" w:type="dxa"/>
            <w:vAlign w:val="center"/>
          </w:tcPr>
          <w:p w:rsidR="00495942" w:rsidRDefault="00427ADD">
            <w:pPr>
              <w:spacing w:before="40" w:after="40"/>
              <w:jc w:val="center"/>
              <w:outlineLvl w:val="0"/>
            </w:pPr>
            <w:r>
              <w:t>5,6</w:t>
            </w:r>
          </w:p>
        </w:tc>
      </w:tr>
      <w:tr w:rsidR="00495942">
        <w:tc>
          <w:tcPr>
            <w:tcW w:w="670" w:type="dxa"/>
            <w:shd w:val="clear" w:color="auto" w:fill="auto"/>
            <w:vAlign w:val="center"/>
          </w:tcPr>
          <w:p w:rsidR="00495942" w:rsidRDefault="00427ADD">
            <w:pPr>
              <w:spacing w:before="40" w:after="40"/>
              <w:jc w:val="center"/>
              <w:outlineLvl w:val="0"/>
              <w:rPr>
                <w:lang w:val="pt-BR"/>
              </w:rPr>
            </w:pPr>
            <w:r>
              <w:rPr>
                <w:lang w:val="pt-BR"/>
              </w:rPr>
              <w:t>03</w:t>
            </w:r>
          </w:p>
        </w:tc>
        <w:tc>
          <w:tcPr>
            <w:tcW w:w="4717" w:type="dxa"/>
            <w:shd w:val="clear" w:color="auto" w:fill="auto"/>
            <w:vAlign w:val="center"/>
          </w:tcPr>
          <w:p w:rsidR="00495942" w:rsidRDefault="00427ADD">
            <w:pPr>
              <w:spacing w:before="40" w:after="40"/>
              <w:jc w:val="both"/>
              <w:outlineLvl w:val="0"/>
              <w:rPr>
                <w:lang w:val="vi-VN"/>
              </w:rPr>
            </w:pPr>
            <w:r>
              <w:rPr>
                <w:lang w:val="vi-VN"/>
              </w:rPr>
              <w:t xml:space="preserve">Doanh thu </w:t>
            </w:r>
            <w:r>
              <w:t>hằng</w:t>
            </w:r>
            <w:r>
              <w:rPr>
                <w:lang w:val="vi-VN"/>
              </w:rPr>
              <w:t xml:space="preserve"> năm</w:t>
            </w:r>
          </w:p>
        </w:tc>
        <w:tc>
          <w:tcPr>
            <w:tcW w:w="3792" w:type="dxa"/>
            <w:vAlign w:val="center"/>
          </w:tcPr>
          <w:p w:rsidR="00495942" w:rsidRDefault="00427ADD">
            <w:pPr>
              <w:spacing w:before="40" w:after="40"/>
              <w:jc w:val="center"/>
              <w:outlineLvl w:val="0"/>
              <w:rPr>
                <w:lang w:val="vi-VN"/>
              </w:rPr>
            </w:pPr>
            <w:r>
              <w:rPr>
                <w:lang w:val="vi-VN"/>
              </w:rPr>
              <w:t>92</w:t>
            </w:r>
          </w:p>
        </w:tc>
      </w:tr>
      <w:tr w:rsidR="00495942">
        <w:tc>
          <w:tcPr>
            <w:tcW w:w="670" w:type="dxa"/>
            <w:shd w:val="clear" w:color="auto" w:fill="auto"/>
            <w:vAlign w:val="center"/>
          </w:tcPr>
          <w:p w:rsidR="00495942" w:rsidRDefault="00495942">
            <w:pPr>
              <w:spacing w:before="40" w:after="40"/>
              <w:jc w:val="center"/>
              <w:outlineLvl w:val="0"/>
              <w:rPr>
                <w:lang w:val="pt-BR"/>
              </w:rPr>
            </w:pPr>
          </w:p>
        </w:tc>
        <w:tc>
          <w:tcPr>
            <w:tcW w:w="4717" w:type="dxa"/>
            <w:shd w:val="clear" w:color="auto" w:fill="auto"/>
            <w:vAlign w:val="center"/>
          </w:tcPr>
          <w:p w:rsidR="00495942" w:rsidRDefault="00427ADD">
            <w:pPr>
              <w:spacing w:before="40" w:after="40"/>
              <w:jc w:val="both"/>
              <w:outlineLvl w:val="0"/>
              <w:rPr>
                <w:lang w:val="vi-VN"/>
              </w:rPr>
            </w:pPr>
            <w:r>
              <w:rPr>
                <w:lang w:val="vi-VN"/>
              </w:rPr>
              <w:t xml:space="preserve">Tiết kiệm phân bón </w:t>
            </w:r>
            <w:r>
              <w:rPr>
                <w:lang w:val="pt-BR"/>
              </w:rPr>
              <w:t>vô cơ</w:t>
            </w:r>
            <w:r>
              <w:rPr>
                <w:lang w:val="vi-VN"/>
              </w:rPr>
              <w:t xml:space="preserve"> (giảm 70% phân bón</w:t>
            </w:r>
            <w:r>
              <w:rPr>
                <w:lang w:val="pt-BR"/>
              </w:rPr>
              <w:t xml:space="preserve"> vô cơ</w:t>
            </w:r>
            <w:r>
              <w:rPr>
                <w:lang w:val="vi-VN"/>
              </w:rPr>
              <w:t>)</w:t>
            </w:r>
          </w:p>
        </w:tc>
        <w:tc>
          <w:tcPr>
            <w:tcW w:w="3792" w:type="dxa"/>
            <w:vAlign w:val="center"/>
          </w:tcPr>
          <w:p w:rsidR="00495942" w:rsidRDefault="00427ADD">
            <w:pPr>
              <w:spacing w:before="40" w:after="40"/>
              <w:jc w:val="center"/>
              <w:outlineLvl w:val="0"/>
              <w:rPr>
                <w:lang w:val="vi-VN"/>
              </w:rPr>
            </w:pPr>
            <w:r>
              <w:rPr>
                <w:lang w:val="vi-VN"/>
              </w:rPr>
              <w:t>20</w:t>
            </w:r>
          </w:p>
        </w:tc>
      </w:tr>
      <w:tr w:rsidR="00495942">
        <w:tc>
          <w:tcPr>
            <w:tcW w:w="670" w:type="dxa"/>
            <w:shd w:val="clear" w:color="auto" w:fill="auto"/>
            <w:vAlign w:val="center"/>
          </w:tcPr>
          <w:p w:rsidR="00495942" w:rsidRDefault="00495942">
            <w:pPr>
              <w:spacing w:before="40" w:after="40"/>
              <w:jc w:val="center"/>
              <w:outlineLvl w:val="0"/>
              <w:rPr>
                <w:lang w:val="pt-BR"/>
              </w:rPr>
            </w:pPr>
          </w:p>
        </w:tc>
        <w:tc>
          <w:tcPr>
            <w:tcW w:w="4717" w:type="dxa"/>
            <w:shd w:val="clear" w:color="auto" w:fill="auto"/>
            <w:vAlign w:val="center"/>
          </w:tcPr>
          <w:p w:rsidR="00495942" w:rsidRDefault="00427ADD">
            <w:pPr>
              <w:spacing w:before="40" w:after="40"/>
              <w:jc w:val="both"/>
              <w:outlineLvl w:val="0"/>
              <w:rPr>
                <w:lang w:val="vi-VN"/>
              </w:rPr>
            </w:pPr>
            <w:r>
              <w:rPr>
                <w:lang w:val="vi-VN"/>
              </w:rPr>
              <w:t>Tiết kiệm công lao động tưới vườn (6 triệu/tháng)</w:t>
            </w:r>
          </w:p>
        </w:tc>
        <w:tc>
          <w:tcPr>
            <w:tcW w:w="3792" w:type="dxa"/>
            <w:vAlign w:val="center"/>
          </w:tcPr>
          <w:p w:rsidR="00495942" w:rsidRDefault="00427ADD">
            <w:pPr>
              <w:spacing w:before="40" w:after="40"/>
              <w:jc w:val="center"/>
              <w:outlineLvl w:val="0"/>
              <w:rPr>
                <w:lang w:val="vi-VN"/>
              </w:rPr>
            </w:pPr>
            <w:r>
              <w:rPr>
                <w:lang w:val="vi-VN"/>
              </w:rPr>
              <w:t>72</w:t>
            </w:r>
          </w:p>
        </w:tc>
      </w:tr>
      <w:tr w:rsidR="00495942">
        <w:tc>
          <w:tcPr>
            <w:tcW w:w="670" w:type="dxa"/>
            <w:shd w:val="clear" w:color="auto" w:fill="auto"/>
            <w:vAlign w:val="center"/>
          </w:tcPr>
          <w:p w:rsidR="00495942" w:rsidRDefault="00427ADD">
            <w:pPr>
              <w:spacing w:before="40" w:after="40"/>
              <w:jc w:val="center"/>
              <w:outlineLvl w:val="0"/>
              <w:rPr>
                <w:lang w:val="pt-BR"/>
              </w:rPr>
            </w:pPr>
            <w:r>
              <w:rPr>
                <w:lang w:val="pt-BR"/>
              </w:rPr>
              <w:t>04</w:t>
            </w:r>
          </w:p>
        </w:tc>
        <w:tc>
          <w:tcPr>
            <w:tcW w:w="4717" w:type="dxa"/>
            <w:shd w:val="clear" w:color="auto" w:fill="auto"/>
            <w:vAlign w:val="center"/>
          </w:tcPr>
          <w:p w:rsidR="00495942" w:rsidRDefault="00427ADD">
            <w:pPr>
              <w:spacing w:before="40" w:after="40"/>
              <w:jc w:val="both"/>
              <w:outlineLvl w:val="0"/>
              <w:rPr>
                <w:lang w:val="vi-VN"/>
              </w:rPr>
            </w:pPr>
            <w:r>
              <w:rPr>
                <w:lang w:val="vi-VN"/>
              </w:rPr>
              <w:t xml:space="preserve">Lợi nhuận </w:t>
            </w:r>
            <w:r>
              <w:t>hằng</w:t>
            </w:r>
            <w:r>
              <w:rPr>
                <w:lang w:val="vi-VN"/>
              </w:rPr>
              <w:t xml:space="preserve"> năm</w:t>
            </w:r>
          </w:p>
        </w:tc>
        <w:tc>
          <w:tcPr>
            <w:tcW w:w="3792" w:type="dxa"/>
            <w:vAlign w:val="center"/>
          </w:tcPr>
          <w:p w:rsidR="00495942" w:rsidRDefault="00427ADD">
            <w:pPr>
              <w:spacing w:before="40" w:after="40"/>
              <w:jc w:val="center"/>
              <w:outlineLvl w:val="0"/>
            </w:pPr>
            <w:r>
              <w:t>65,35</w:t>
            </w:r>
          </w:p>
        </w:tc>
      </w:tr>
      <w:tr w:rsidR="00495942">
        <w:tc>
          <w:tcPr>
            <w:tcW w:w="670" w:type="dxa"/>
            <w:shd w:val="clear" w:color="auto" w:fill="auto"/>
            <w:vAlign w:val="center"/>
          </w:tcPr>
          <w:p w:rsidR="00495942" w:rsidRDefault="00427ADD">
            <w:pPr>
              <w:spacing w:before="40" w:after="40"/>
              <w:jc w:val="center"/>
              <w:outlineLvl w:val="0"/>
              <w:rPr>
                <w:lang w:val="pt-BR"/>
              </w:rPr>
            </w:pPr>
            <w:r>
              <w:rPr>
                <w:lang w:val="pt-BR"/>
              </w:rPr>
              <w:t>05</w:t>
            </w:r>
          </w:p>
        </w:tc>
        <w:tc>
          <w:tcPr>
            <w:tcW w:w="4717" w:type="dxa"/>
            <w:shd w:val="clear" w:color="auto" w:fill="auto"/>
            <w:vAlign w:val="center"/>
          </w:tcPr>
          <w:p w:rsidR="00495942" w:rsidRDefault="00427ADD">
            <w:pPr>
              <w:spacing w:before="40" w:after="40"/>
              <w:jc w:val="both"/>
              <w:outlineLvl w:val="0"/>
              <w:rPr>
                <w:lang w:val="pt-BR"/>
              </w:rPr>
            </w:pPr>
            <w:r>
              <w:rPr>
                <w:lang w:val="pt-BR"/>
              </w:rPr>
              <w:t>Tỷ suất lợi nhuận (ROI)</w:t>
            </w:r>
          </w:p>
        </w:tc>
        <w:tc>
          <w:tcPr>
            <w:tcW w:w="3792" w:type="dxa"/>
            <w:vAlign w:val="center"/>
          </w:tcPr>
          <w:p w:rsidR="00495942" w:rsidRDefault="00427ADD">
            <w:pPr>
              <w:spacing w:before="40" w:after="40"/>
              <w:jc w:val="center"/>
              <w:outlineLvl w:val="0"/>
              <w:rPr>
                <w:lang w:val="vi-VN"/>
              </w:rPr>
            </w:pPr>
            <w:r>
              <w:t>93,3</w:t>
            </w:r>
            <w:r>
              <w:rPr>
                <w:lang w:val="vi-VN"/>
              </w:rPr>
              <w:t>%</w:t>
            </w:r>
          </w:p>
        </w:tc>
      </w:tr>
      <w:tr w:rsidR="00495942">
        <w:tc>
          <w:tcPr>
            <w:tcW w:w="670" w:type="dxa"/>
            <w:shd w:val="clear" w:color="auto" w:fill="auto"/>
            <w:vAlign w:val="center"/>
          </w:tcPr>
          <w:p w:rsidR="00495942" w:rsidRDefault="00427ADD">
            <w:pPr>
              <w:spacing w:before="40" w:after="40"/>
              <w:jc w:val="center"/>
              <w:outlineLvl w:val="0"/>
              <w:rPr>
                <w:lang w:val="pt-BR"/>
              </w:rPr>
            </w:pPr>
            <w:r>
              <w:rPr>
                <w:lang w:val="pt-BR"/>
              </w:rPr>
              <w:t>06</w:t>
            </w:r>
          </w:p>
        </w:tc>
        <w:tc>
          <w:tcPr>
            <w:tcW w:w="4717" w:type="dxa"/>
            <w:shd w:val="clear" w:color="auto" w:fill="auto"/>
            <w:vAlign w:val="center"/>
          </w:tcPr>
          <w:p w:rsidR="00495942" w:rsidRDefault="00427ADD">
            <w:pPr>
              <w:spacing w:before="40" w:after="40"/>
              <w:jc w:val="both"/>
              <w:outlineLvl w:val="0"/>
              <w:rPr>
                <w:lang w:val="pt-BR"/>
              </w:rPr>
            </w:pPr>
            <w:r>
              <w:rPr>
                <w:lang w:val="pt-BR"/>
              </w:rPr>
              <w:t>Thời gian hoàn vốn (năm)</w:t>
            </w:r>
          </w:p>
        </w:tc>
        <w:tc>
          <w:tcPr>
            <w:tcW w:w="3792" w:type="dxa"/>
            <w:vAlign w:val="center"/>
          </w:tcPr>
          <w:p w:rsidR="00495942" w:rsidRDefault="00427ADD">
            <w:pPr>
              <w:spacing w:before="40" w:after="40"/>
              <w:jc w:val="center"/>
              <w:outlineLvl w:val="0"/>
            </w:pPr>
            <w:r>
              <w:t>0,96</w:t>
            </w:r>
          </w:p>
        </w:tc>
      </w:tr>
    </w:tbl>
    <w:p w:rsidR="00495942" w:rsidRDefault="00427ADD">
      <w:pPr>
        <w:ind w:firstLine="288"/>
        <w:jc w:val="both"/>
        <w:outlineLvl w:val="0"/>
        <w:rPr>
          <w:i/>
          <w:lang w:val="vi-VN"/>
        </w:rPr>
      </w:pPr>
      <w:r>
        <w:rPr>
          <w:i/>
        </w:rPr>
        <w:t>*</w:t>
      </w:r>
      <w:r>
        <w:rPr>
          <w:i/>
          <w:lang w:val="vi-VN"/>
        </w:rPr>
        <w:t xml:space="preserve">Ghi chú: Hộ ông Thân Văn Thành ở Bắc Giang, đầu tư hệ thống tưới cho diện tích trồng cam canh trên đồi </w:t>
      </w:r>
    </w:p>
    <w:p w:rsidR="00495942" w:rsidRDefault="00427ADD">
      <w:pPr>
        <w:ind w:firstLine="288"/>
        <w:jc w:val="center"/>
        <w:outlineLvl w:val="0"/>
        <w:rPr>
          <w:lang w:val="vi-VN"/>
        </w:rPr>
      </w:pPr>
      <w:r>
        <w:rPr>
          <w:noProof/>
          <w:lang w:val="vi-VN" w:eastAsia="vi-VN"/>
        </w:rPr>
        <w:drawing>
          <wp:inline distT="0" distB="0" distL="0" distR="0">
            <wp:extent cx="3792219" cy="2761615"/>
            <wp:effectExtent l="0" t="0" r="0" b="635"/>
            <wp:docPr id="10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11" cstate="print"/>
                    <a:srcRect/>
                    <a:stretch/>
                  </pic:blipFill>
                  <pic:spPr>
                    <a:xfrm>
                      <a:off x="0" y="0"/>
                      <a:ext cx="3792219" cy="2761615"/>
                    </a:xfrm>
                    <a:prstGeom prst="rect">
                      <a:avLst/>
                    </a:prstGeom>
                  </pic:spPr>
                </pic:pic>
              </a:graphicData>
            </a:graphic>
          </wp:inline>
        </w:drawing>
      </w:r>
    </w:p>
    <w:p w:rsidR="00495942" w:rsidRDefault="00427ADD">
      <w:pPr>
        <w:spacing w:before="120" w:line="300" w:lineRule="auto"/>
        <w:ind w:left="284"/>
        <w:jc w:val="center"/>
        <w:rPr>
          <w:i/>
          <w:lang w:val="it-IT"/>
        </w:rPr>
      </w:pPr>
      <w:r>
        <w:rPr>
          <w:i/>
          <w:spacing w:val="6"/>
          <w:lang w:val="vi-VN"/>
        </w:rPr>
        <w:t xml:space="preserve">Hình </w:t>
      </w:r>
      <w:r>
        <w:rPr>
          <w:i/>
          <w:spacing w:val="6"/>
        </w:rPr>
        <w:t>3</w:t>
      </w:r>
      <w:r>
        <w:rPr>
          <w:i/>
          <w:spacing w:val="6"/>
          <w:lang w:val="vi-VN"/>
        </w:rPr>
        <w:t xml:space="preserve">: Mô hình sử dụng nước thải sau bioga để tưới cam tại Bắc Giang </w:t>
      </w:r>
    </w:p>
    <w:p w:rsidR="00495942" w:rsidRDefault="00427ADD">
      <w:pPr>
        <w:spacing w:before="120" w:after="120"/>
        <w:jc w:val="both"/>
        <w:rPr>
          <w:b/>
          <w:i/>
          <w:spacing w:val="4"/>
        </w:rPr>
      </w:pPr>
      <w:r>
        <w:rPr>
          <w:b/>
          <w:i/>
          <w:lang w:val="es-ES"/>
        </w:rPr>
        <w:t xml:space="preserve">4.4. </w:t>
      </w:r>
      <w:r>
        <w:rPr>
          <w:b/>
          <w:i/>
          <w:spacing w:val="4"/>
        </w:rPr>
        <w:t>Mô hình sử dụng bể lắng nhiều ngăn để xử lý môi trường chăn nuôi kết hợp sản xuất phân bón hữu cơ (phù hợp với quy mô chăn nuôi nông hộ và gia trại)</w:t>
      </w:r>
    </w:p>
    <w:p w:rsidR="00495942" w:rsidRDefault="00427ADD">
      <w:pPr>
        <w:spacing w:before="120" w:after="120"/>
        <w:jc w:val="both"/>
        <w:rPr>
          <w:lang w:val="it-IT"/>
        </w:rPr>
      </w:pPr>
      <w:r>
        <w:rPr>
          <w:lang w:val="it-IT"/>
        </w:rPr>
        <w:t>Do các hầm bioga có dung tích cố định nhưng quy mô chăn nuôi lại thay đổi thường xuyên theo thị trường nên hầu hết các hầm bioga đều thường xuyên bị quá tải. Hiện tượng quá tải hầm bioga được dự án LCASP khảo sát và ghi nhận ở tất cả các tỉnh tham gia dự án ở mức nghiêm trọng. Rất nhiều hộ chăn nuôi có vài trăm con lợn nhưng chỉ xây lắp một hoặc vài hầm bioga có dung tích chưa đến 50 m</w:t>
      </w:r>
      <w:r>
        <w:rPr>
          <w:vertAlign w:val="superscript"/>
          <w:lang w:val="it-IT"/>
        </w:rPr>
        <w:t>3</w:t>
      </w:r>
      <w:r>
        <w:rPr>
          <w:lang w:val="it-IT"/>
        </w:rPr>
        <w:t xml:space="preserve"> (ở Bình Định, Bắc Giang, ...), nhiều hộ chăn nuôi có đến 80 con lợn nhưng chỉ có hầm bioga 9 m</w:t>
      </w:r>
      <w:r>
        <w:rPr>
          <w:vertAlign w:val="superscript"/>
          <w:lang w:val="it-IT"/>
        </w:rPr>
        <w:t xml:space="preserve">3 </w:t>
      </w:r>
      <w:r>
        <w:rPr>
          <w:lang w:val="it-IT"/>
        </w:rPr>
        <w:t>(Hà Tĩnh, Nam Định...). Chất thải chăn nuôi đưa xuống hầm bioga chưa kịp phân hủy đã bị trào ra môi trường gây ô nhiễm nghiêm trọng.</w:t>
      </w:r>
    </w:p>
    <w:p w:rsidR="00495942" w:rsidRDefault="00427ADD">
      <w:pPr>
        <w:spacing w:before="120" w:after="120"/>
        <w:jc w:val="both"/>
        <w:rPr>
          <w:lang w:val="it-IT"/>
        </w:rPr>
      </w:pPr>
      <w:r>
        <w:rPr>
          <w:lang w:val="it-IT"/>
        </w:rPr>
        <w:t>Để khắc phục hiện tượng quá tải các hầm bioga quy mô nhỏ, dự án LCASP đã đề xuất sử dụng các bể lắng trước bioga để tách bớt chất thải chăn nuôi trước khi đưa xuống hầm bioga. Các mô hình sử dụng công nghệ bể lắng 3 - 4 ngăn để giải quyết quá tải hầm bioga quy mô nhỏ tại Phú Thọ và Nam Định đã chứng minh hiệu quả tốt, bên cạnh hiệu quả giảm ô nhiễm môi trường thì người chăn nuôi còn thu gom được một lượng lớn chất thải chăn nuôi rắn để ủ phân hữu cơ, đem lại thu nhập bổ sung để làm động lực cho người dân đầu tư ứng dụng công nghệ này. Bảng 8 dưới đây đã tính toán chi tiết hiệu quả kinh tế khi các hộ chăn nuôi áp dụng công nghệ sử dụng bể lắng trước bioga của dự án LCASP.</w:t>
      </w:r>
    </w:p>
    <w:p w:rsidR="00495942" w:rsidRDefault="00495942">
      <w:pPr>
        <w:spacing w:before="120" w:after="120"/>
        <w:ind w:left="284"/>
        <w:jc w:val="both"/>
        <w:rPr>
          <w:b/>
          <w:lang w:val="es-ES"/>
        </w:rPr>
      </w:pPr>
    </w:p>
    <w:p w:rsidR="00495942" w:rsidRDefault="00427ADD">
      <w:pPr>
        <w:ind w:left="284"/>
        <w:jc w:val="center"/>
        <w:rPr>
          <w:b/>
          <w:lang w:val="es-ES"/>
        </w:rPr>
      </w:pPr>
      <w:r>
        <w:rPr>
          <w:b/>
          <w:noProof/>
          <w:lang w:val="vi-VN" w:eastAsia="vi-VN"/>
        </w:rPr>
        <w:drawing>
          <wp:inline distT="0" distB="0" distL="0" distR="0">
            <wp:extent cx="3700780" cy="2091055"/>
            <wp:effectExtent l="0" t="0" r="0" b="4445"/>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srcRect/>
                    <a:stretch/>
                  </pic:blipFill>
                  <pic:spPr>
                    <a:xfrm>
                      <a:off x="0" y="0"/>
                      <a:ext cx="3700780" cy="2091055"/>
                    </a:xfrm>
                    <a:prstGeom prst="rect">
                      <a:avLst/>
                    </a:prstGeom>
                  </pic:spPr>
                </pic:pic>
              </a:graphicData>
            </a:graphic>
          </wp:inline>
        </w:drawing>
      </w:r>
    </w:p>
    <w:p w:rsidR="00495942" w:rsidRDefault="00427ADD">
      <w:pPr>
        <w:spacing w:before="60" w:line="288" w:lineRule="auto"/>
        <w:ind w:firstLine="284"/>
        <w:jc w:val="center"/>
        <w:rPr>
          <w:i/>
          <w:lang w:val="it-IT"/>
        </w:rPr>
      </w:pPr>
      <w:r>
        <w:rPr>
          <w:i/>
          <w:lang w:val="it-IT"/>
        </w:rPr>
        <w:t>Hình 4: Mô hình bể nhiều ngăn tại trang trại ông Nguyễn Văn Hải, Nam Định</w:t>
      </w:r>
    </w:p>
    <w:p w:rsidR="00495942" w:rsidRDefault="00427ADD">
      <w:pPr>
        <w:spacing w:before="120" w:after="120"/>
        <w:ind w:firstLine="288"/>
        <w:jc w:val="both"/>
        <w:outlineLvl w:val="0"/>
        <w:rPr>
          <w:b/>
          <w:lang w:val="it-IT"/>
        </w:rPr>
      </w:pPr>
      <w:r>
        <w:rPr>
          <w:b/>
          <w:lang w:val="vi-VN"/>
        </w:rPr>
        <w:t xml:space="preserve">Bảng </w:t>
      </w:r>
      <w:r>
        <w:rPr>
          <w:b/>
          <w:lang w:val="it-IT"/>
        </w:rPr>
        <w:t>8</w:t>
      </w:r>
      <w:r>
        <w:rPr>
          <w:b/>
          <w:lang w:val="vi-VN"/>
        </w:rPr>
        <w:t xml:space="preserve">: Phân tích hiệu quả kinh tế các mô hình </w:t>
      </w:r>
      <w:r>
        <w:rPr>
          <w:b/>
          <w:lang w:val="it-IT"/>
        </w:rPr>
        <w:t xml:space="preserve">thử nghiệm sử dụng bể lắng trước bioga </w:t>
      </w:r>
      <w:r>
        <w:rPr>
          <w:b/>
          <w:lang w:val="vi-VN"/>
        </w:rPr>
        <w:t xml:space="preserve">tại </w:t>
      </w:r>
      <w:r>
        <w:rPr>
          <w:b/>
          <w:lang w:val="it-IT"/>
        </w:rPr>
        <w:t>Nam Định</w:t>
      </w:r>
      <w:r>
        <w:rPr>
          <w:b/>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340"/>
        <w:gridCol w:w="3884"/>
      </w:tblGrid>
      <w:tr w:rsidR="00495942">
        <w:trPr>
          <w:trHeight w:val="267"/>
        </w:trPr>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b/>
                <w:lang w:val="pt-BR"/>
              </w:rPr>
            </w:pPr>
            <w:r>
              <w:rPr>
                <w:b/>
                <w:lang w:val="pt-BR"/>
              </w:rPr>
              <w:t>STT</w:t>
            </w: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b/>
                <w:lang w:val="pt-BR"/>
              </w:rPr>
              <w:t>Các chỉ tiêu nghiên cứu</w:t>
            </w:r>
          </w:p>
        </w:tc>
        <w:tc>
          <w:tcPr>
            <w:tcW w:w="3969" w:type="dxa"/>
            <w:tcBorders>
              <w:top w:val="single" w:sz="8" w:space="0" w:color="auto"/>
              <w:left w:val="single" w:sz="8" w:space="0" w:color="auto"/>
              <w:right w:val="single" w:sz="8" w:space="0" w:color="auto"/>
            </w:tcBorders>
            <w:shd w:val="clear" w:color="auto" w:fill="auto"/>
            <w:vAlign w:val="center"/>
          </w:tcPr>
          <w:p w:rsidR="00495942" w:rsidRDefault="00427ADD">
            <w:pPr>
              <w:spacing w:before="40" w:after="40"/>
              <w:jc w:val="center"/>
              <w:outlineLvl w:val="0"/>
              <w:rPr>
                <w:b/>
                <w:lang w:val="pt-BR"/>
              </w:rPr>
            </w:pPr>
            <w:r>
              <w:rPr>
                <w:b/>
                <w:lang w:val="pt-BR"/>
              </w:rPr>
              <w:t>Chi phí và thu nhập (triệu VNĐ)</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lang w:val="pt-BR"/>
              </w:rPr>
              <w:t>01</w:t>
            </w: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 xml:space="preserve">Chi phí </w:t>
            </w:r>
            <w:r>
              <w:rPr>
                <w:lang w:val="vi-VN"/>
              </w:rPr>
              <w:t>đầu tư</w:t>
            </w:r>
            <w:r>
              <w:rPr>
                <w:lang w:val="pt-BR"/>
              </w:rPr>
              <w:t xml:space="preserve"> bể 30 m</w:t>
            </w:r>
            <w:r>
              <w:rPr>
                <w:vertAlign w:val="superscript"/>
                <w:lang w:val="pt-BR"/>
              </w:rPr>
              <w:t>3</w:t>
            </w:r>
            <w:r>
              <w:rPr>
                <w:lang w:val="pt-BR"/>
              </w:rPr>
              <w:t>, máy bơm bùn</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pPr>
            <w:r>
              <w:t>40</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lang w:val="pt-BR"/>
              </w:rPr>
              <w:t>02</w:t>
            </w: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vi-VN"/>
              </w:rPr>
            </w:pPr>
            <w:r>
              <w:rPr>
                <w:lang w:val="pt-BR"/>
              </w:rPr>
              <w:t>Chi phí</w:t>
            </w:r>
            <w:r>
              <w:rPr>
                <w:lang w:val="vi-VN"/>
              </w:rPr>
              <w:t xml:space="preserve"> </w:t>
            </w:r>
            <w:r>
              <w:rPr>
                <w:lang w:val="pt-BR"/>
              </w:rPr>
              <w:t>hàng năm</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lang w:val="pt-BR"/>
              </w:rPr>
              <w:t>17,2</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outlineLvl w:val="0"/>
              <w:rPr>
                <w:lang w:val="pt-BR"/>
              </w:rPr>
            </w:pP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Vận hành bảo dưỡng (nhân công)</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pPr>
            <w:r>
              <w:t>10</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outlineLvl w:val="0"/>
              <w:rPr>
                <w:lang w:val="pt-BR"/>
              </w:rPr>
            </w:pP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vi-VN"/>
              </w:rPr>
            </w:pPr>
            <w:r>
              <w:rPr>
                <w:lang w:val="vi-VN"/>
              </w:rPr>
              <w:t>Khấu hao (10%)</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pPr>
            <w:r>
              <w:t>4</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95942">
            <w:pPr>
              <w:spacing w:before="40" w:after="40"/>
              <w:jc w:val="center"/>
              <w:outlineLvl w:val="0"/>
              <w:rPr>
                <w:lang w:val="pt-BR"/>
              </w:rPr>
            </w:pP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vi-VN"/>
              </w:rPr>
            </w:pPr>
            <w:r>
              <w:rPr>
                <w:lang w:val="vi-VN"/>
              </w:rPr>
              <w:t>Lãi suất vay (8%)</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pPr>
            <w:r>
              <w:t>3,2</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lang w:val="pt-BR"/>
              </w:rPr>
              <w:t>03</w:t>
            </w: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vi-VN"/>
              </w:rPr>
              <w:t xml:space="preserve">Doanh thu từ </w:t>
            </w:r>
            <w:r>
              <w:rPr>
                <w:lang w:val="pt-BR"/>
              </w:rPr>
              <w:t>bán phân bón hữu cơ</w:t>
            </w:r>
          </w:p>
          <w:p w:rsidR="00495942" w:rsidRDefault="00427ADD">
            <w:pPr>
              <w:spacing w:before="40" w:after="40"/>
              <w:outlineLvl w:val="0"/>
              <w:rPr>
                <w:lang w:val="pt-BR"/>
              </w:rPr>
            </w:pPr>
            <w:r>
              <w:rPr>
                <w:lang w:val="pt-BR"/>
              </w:rPr>
              <w:t>(5 triệu/ tháng – 1.000 đồng/kg phân)</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lang w:val="pt-BR"/>
              </w:rPr>
              <w:t>60</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lang w:val="pt-BR"/>
              </w:rPr>
              <w:t>04</w:t>
            </w: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vi-VN"/>
              </w:rPr>
            </w:pPr>
            <w:r>
              <w:rPr>
                <w:lang w:val="vi-VN"/>
              </w:rPr>
              <w:t>Lợi nhuận hằng năm</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pPr>
            <w:r>
              <w:t>42,8</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lang w:val="pt-BR"/>
              </w:rPr>
              <w:t>05</w:t>
            </w: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Tỷ suất sinh lời (ROI)</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pPr>
            <w:r>
              <w:t>107%</w:t>
            </w:r>
          </w:p>
        </w:tc>
      </w:tr>
      <w:tr w:rsidR="00495942">
        <w:tc>
          <w:tcPr>
            <w:tcW w:w="670"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rPr>
                <w:lang w:val="pt-BR"/>
              </w:rPr>
            </w:pPr>
            <w:r>
              <w:rPr>
                <w:lang w:val="pt-BR"/>
              </w:rPr>
              <w:t>06</w:t>
            </w:r>
          </w:p>
        </w:tc>
        <w:tc>
          <w:tcPr>
            <w:tcW w:w="4433"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outlineLvl w:val="0"/>
              <w:rPr>
                <w:lang w:val="pt-BR"/>
              </w:rPr>
            </w:pPr>
            <w:r>
              <w:rPr>
                <w:lang w:val="pt-BR"/>
              </w:rPr>
              <w:t>Thời gian hoàn vốn (năm)</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center"/>
          </w:tcPr>
          <w:p w:rsidR="00495942" w:rsidRDefault="00427ADD">
            <w:pPr>
              <w:spacing w:before="40" w:after="40"/>
              <w:jc w:val="center"/>
              <w:outlineLvl w:val="0"/>
            </w:pPr>
            <w:r>
              <w:t>0,85</w:t>
            </w:r>
          </w:p>
        </w:tc>
      </w:tr>
    </w:tbl>
    <w:p w:rsidR="00495942" w:rsidRDefault="00427ADD">
      <w:pPr>
        <w:ind w:left="284"/>
        <w:jc w:val="both"/>
        <w:rPr>
          <w:b/>
          <w:lang w:val="es-ES"/>
        </w:rPr>
      </w:pPr>
      <w:r>
        <w:rPr>
          <w:i/>
          <w:lang w:val="it-IT"/>
        </w:rPr>
        <w:t>*Ghi chú: Hộ ông Nguyễn Văn Thục, xã Trực Thái, huyện Trực Ninh</w:t>
      </w:r>
    </w:p>
    <w:p w:rsidR="00495942" w:rsidRDefault="00427ADD">
      <w:pPr>
        <w:spacing w:before="120" w:after="120"/>
        <w:ind w:left="288"/>
        <w:jc w:val="both"/>
        <w:rPr>
          <w:lang w:val="es-ES"/>
        </w:rPr>
      </w:pPr>
      <w:r>
        <w:rPr>
          <w:lang w:val="es-ES"/>
        </w:rPr>
        <w:t xml:space="preserve">Tóm lại, </w:t>
      </w:r>
      <w:r>
        <w:rPr>
          <w:spacing w:val="4"/>
          <w:lang w:val="it-IT"/>
        </w:rPr>
        <w:t xml:space="preserve">một số mô hình xử lý chất thải chăn nuôi làm phân bón hữu cơ của dự án LCASP </w:t>
      </w:r>
      <w:r>
        <w:rPr>
          <w:spacing w:val="6"/>
          <w:lang w:val="vi-VN"/>
        </w:rPr>
        <w:t>bước đầu đã cho kết quả hết sức khả quan: tất cả các hạng mục đầu tư đều có hiệu quả kinh tế cao và hiệu quả môi trường tốt.</w:t>
      </w:r>
      <w:r>
        <w:rPr>
          <w:spacing w:val="6"/>
        </w:rPr>
        <w:t xml:space="preserve"> </w:t>
      </w:r>
      <w:r>
        <w:rPr>
          <w:spacing w:val="6"/>
          <w:lang w:val="vi-VN"/>
        </w:rPr>
        <w:t>So với một số mô hình xử lý chất thải chăn nuôi trước kia khi chủ trang trại chỉ áp dụng công nghệ để xử lý nước thải chăn nuôi thật sạch để xả ra môi trường mà không đem lại lợi nhuận bổ sung thì mô hình của dự án LCASP đã tạo được động lực lợi nhuận cho chủ trang trại, đây là yếu tố vô cùng quan trọng giúp các chủ trang trại đầu tư vào vận hành và bảo dưỡng các hệ thống xử lý môi trường chăn nuôi một cách hiệu quả và bền vữn</w:t>
      </w:r>
      <w:r>
        <w:rPr>
          <w:spacing w:val="6"/>
        </w:rPr>
        <w:t>g</w:t>
      </w:r>
    </w:p>
    <w:p w:rsidR="00495942" w:rsidRDefault="00427ADD">
      <w:pPr>
        <w:pStyle w:val="ListParagraph"/>
        <w:numPr>
          <w:ilvl w:val="0"/>
          <w:numId w:val="1"/>
        </w:numPr>
        <w:spacing w:before="120" w:after="120"/>
        <w:jc w:val="both"/>
        <w:rPr>
          <w:b/>
          <w:lang w:val="es-ES"/>
        </w:rPr>
      </w:pPr>
      <w:r>
        <w:rPr>
          <w:b/>
          <w:lang w:val="es-ES"/>
        </w:rPr>
        <w:t>Kết luận và kiến nghị</w:t>
      </w:r>
    </w:p>
    <w:bookmarkEnd w:id="1"/>
    <w:bookmarkEnd w:id="2"/>
    <w:bookmarkEnd w:id="3"/>
    <w:bookmarkEnd w:id="4"/>
    <w:p w:rsidR="00495942" w:rsidRDefault="00427ADD">
      <w:pPr>
        <w:shd w:val="clear" w:color="auto" w:fill="FFFFFF"/>
        <w:spacing w:before="120" w:after="120"/>
        <w:ind w:left="360"/>
        <w:jc w:val="both"/>
        <w:rPr>
          <w:spacing w:val="4"/>
          <w:lang w:val="it-IT"/>
        </w:rPr>
      </w:pPr>
      <w:r>
        <w:rPr>
          <w:spacing w:val="4"/>
          <w:lang w:val="it-IT"/>
        </w:rPr>
        <w:t>Sử dụng chất thải của ngành chăn nuôi làm phân bón hữu cơ phục vụ sản xuất nông nghiệp theo hướng hữu cơ của ngành trồng trọt là một xu thế tất yếu để phát triển một nền nông nghiệp xanh, sạch, hiệu quả và bền vững. Tiềm năng sử dụng chất thải chăn nuôi làm phân bón hữu cơ của nước ta rất lớn. Tuy nhiên, thời gian vừa qua, do có một số hạn chế về công nghệ và chính sách nên việc áp dụng các công nghệ xử lý môi trường chăn nuôi theo hướng tái sử dụng để sản xuất phân bón hữu cơ chưa thực sự được phát huy mạnh mẽ ở nước ta. Điều này đã dẫn đến tình trạng “ô nhiễm kép và lãng phí kép” trong ngành nông nghiệp như đã phân tích ở trên.</w:t>
      </w:r>
    </w:p>
    <w:p w:rsidR="00495942" w:rsidRDefault="00427ADD">
      <w:pPr>
        <w:shd w:val="clear" w:color="auto" w:fill="FFFFFF"/>
        <w:spacing w:before="120" w:after="120"/>
        <w:ind w:left="360"/>
        <w:jc w:val="both"/>
        <w:rPr>
          <w:spacing w:val="4"/>
        </w:rPr>
      </w:pPr>
      <w:r>
        <w:rPr>
          <w:spacing w:val="6"/>
        </w:rPr>
        <w:t>Một số mô hình về khai thác, sử dụng chất thải chăn nuôi làm phân bón hữu cơ do dự án LCASP thực hiện đã đạt được kết quả tốt. Để góp phần tận dụng nguồn “tài nguyên” chất thải chăn nuôi để sản xuất phân bón hữu cơ phục vụ mục tiêu phát triển nông nghiệp theo hướng hữu cơ, đề nghị Bộ NN &amp; PTNT nhanh chóng nghiên cứu hoàn thiện chính sách, tiêu chuẩn, quy chuẩn để sử dụng chất thải chăn nuôi làm phân bón hữu cơ và hỗ trợ tuyên truyền nhân rộng các mô hình thành công của dự án.</w:t>
      </w:r>
      <w:r>
        <w:rPr>
          <w:noProof/>
          <w:spacing w:val="4"/>
        </w:rPr>
        <w:t xml:space="preserve"> </w:t>
      </w:r>
    </w:p>
    <w:p w:rsidR="00495942" w:rsidRDefault="00427ADD">
      <w:pPr>
        <w:shd w:val="clear" w:color="auto" w:fill="FFFFFF"/>
        <w:spacing w:before="120" w:line="300" w:lineRule="auto"/>
        <w:ind w:left="360"/>
        <w:jc w:val="center"/>
        <w:rPr>
          <w:spacing w:val="4"/>
          <w:lang w:val="it-IT"/>
        </w:rPr>
      </w:pPr>
      <w:r>
        <w:rPr>
          <w:noProof/>
          <w:spacing w:val="4"/>
          <w:lang w:val="vi-VN" w:eastAsia="vi-VN"/>
        </w:rPr>
        <w:drawing>
          <wp:inline distT="0" distB="0" distL="0" distR="0">
            <wp:extent cx="780673" cy="791742"/>
            <wp:effectExtent l="0" t="0" r="635" b="8890"/>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3" cstate="print"/>
                    <a:srcRect/>
                    <a:stretch/>
                  </pic:blipFill>
                  <pic:spPr>
                    <a:xfrm>
                      <a:off x="0" y="0"/>
                      <a:ext cx="780673" cy="791742"/>
                    </a:xfrm>
                    <a:prstGeom prst="rect">
                      <a:avLst/>
                    </a:prstGeom>
                  </pic:spPr>
                </pic:pic>
              </a:graphicData>
            </a:graphic>
          </wp:inline>
        </w:drawing>
      </w:r>
    </w:p>
    <w:p w:rsidR="00495942" w:rsidRDefault="00495942">
      <w:pPr>
        <w:shd w:val="clear" w:color="auto" w:fill="FFFFFF"/>
        <w:spacing w:before="120" w:line="300" w:lineRule="auto"/>
        <w:ind w:left="360"/>
        <w:jc w:val="center"/>
        <w:rPr>
          <w:spacing w:val="4"/>
          <w:lang w:val="it-IT"/>
        </w:rPr>
      </w:pPr>
    </w:p>
    <w:p w:rsidR="00495942" w:rsidRDefault="00427ADD">
      <w:pPr>
        <w:spacing w:before="60" w:line="288" w:lineRule="auto"/>
        <w:jc w:val="center"/>
        <w:outlineLvl w:val="0"/>
        <w:rPr>
          <w:lang w:val="pt-BR"/>
        </w:rPr>
      </w:pPr>
      <w:r>
        <w:rPr>
          <w:noProof/>
          <w:lang w:val="vi-VN" w:eastAsia="vi-VN"/>
        </w:rPr>
        <w:drawing>
          <wp:inline distT="0" distB="0" distL="0" distR="0">
            <wp:extent cx="4014470" cy="2548890"/>
            <wp:effectExtent l="0" t="0" r="5080" b="3810"/>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4" cstate="print"/>
                    <a:srcRect/>
                    <a:stretch/>
                  </pic:blipFill>
                  <pic:spPr>
                    <a:xfrm>
                      <a:off x="0" y="0"/>
                      <a:ext cx="4014470" cy="2548890"/>
                    </a:xfrm>
                    <a:prstGeom prst="rect">
                      <a:avLst/>
                    </a:prstGeom>
                  </pic:spPr>
                </pic:pic>
              </a:graphicData>
            </a:graphic>
          </wp:inline>
        </w:drawing>
      </w:r>
    </w:p>
    <w:p w:rsidR="00495942" w:rsidRDefault="00427ADD">
      <w:pPr>
        <w:spacing w:before="60" w:line="288" w:lineRule="auto"/>
        <w:jc w:val="center"/>
        <w:outlineLvl w:val="0"/>
        <w:rPr>
          <w:i/>
          <w:lang w:val="pt-BR"/>
        </w:rPr>
      </w:pPr>
      <w:r>
        <w:rPr>
          <w:i/>
          <w:lang w:val="pt-BR"/>
        </w:rPr>
        <w:t>Hình 5: Thủ tướng Chính phủ thăm mô hình của dự án LCASP</w:t>
      </w:r>
    </w:p>
    <w:p w:rsidR="00495942" w:rsidRDefault="00495942">
      <w:pPr>
        <w:ind w:left="173"/>
        <w:jc w:val="both"/>
        <w:rPr>
          <w:i/>
          <w:lang w:val="nl-NL"/>
        </w:rPr>
      </w:pPr>
    </w:p>
    <w:p w:rsidR="00495942" w:rsidRDefault="00427ADD">
      <w:pPr>
        <w:spacing w:before="60" w:line="288" w:lineRule="auto"/>
        <w:ind w:left="173"/>
        <w:jc w:val="center"/>
        <w:rPr>
          <w:lang w:val="it-IT"/>
        </w:rPr>
      </w:pPr>
      <w:r>
        <w:rPr>
          <w:noProof/>
          <w:lang w:val="vi-VN" w:eastAsia="vi-VN"/>
        </w:rPr>
        <w:drawing>
          <wp:inline distT="0" distB="0" distL="0" distR="0">
            <wp:extent cx="4019550" cy="2257425"/>
            <wp:effectExtent l="0" t="0" r="0" b="0"/>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5" cstate="print"/>
                    <a:srcRect/>
                    <a:stretch/>
                  </pic:blipFill>
                  <pic:spPr>
                    <a:xfrm>
                      <a:off x="0" y="0"/>
                      <a:ext cx="4019550" cy="2257425"/>
                    </a:xfrm>
                    <a:prstGeom prst="rect">
                      <a:avLst/>
                    </a:prstGeom>
                    <a:ln>
                      <a:noFill/>
                    </a:ln>
                  </pic:spPr>
                </pic:pic>
              </a:graphicData>
            </a:graphic>
          </wp:inline>
        </w:drawing>
      </w:r>
    </w:p>
    <w:p w:rsidR="00495942" w:rsidRDefault="00427ADD">
      <w:pPr>
        <w:spacing w:after="120" w:line="288" w:lineRule="auto"/>
        <w:ind w:left="176"/>
        <w:jc w:val="center"/>
        <w:rPr>
          <w:i/>
          <w:lang w:val="it-IT"/>
        </w:rPr>
      </w:pPr>
      <w:r>
        <w:rPr>
          <w:i/>
          <w:lang w:val="it-IT"/>
        </w:rPr>
        <w:t>Hình 6: Nuôi lợn thịt trên chuồng sàn theo mô hình của dự án LCASP</w:t>
      </w:r>
    </w:p>
    <w:p w:rsidR="00495942" w:rsidRDefault="00495942">
      <w:pPr>
        <w:shd w:val="clear" w:color="auto" w:fill="FFFFFF"/>
        <w:spacing w:before="120" w:line="300" w:lineRule="auto"/>
        <w:ind w:left="360"/>
        <w:jc w:val="center"/>
        <w:rPr>
          <w:spacing w:val="4"/>
          <w:lang w:val="it-IT"/>
        </w:rPr>
      </w:pPr>
    </w:p>
    <w:sectPr w:rsidR="00495942">
      <w:footerReference w:type="even" r:id="rId16"/>
      <w:footerReference w:type="default" r:id="rId17"/>
      <w:pgSz w:w="11907" w:h="16840" w:code="9"/>
      <w:pgMar w:top="864" w:right="1134" w:bottom="864" w:left="1987" w:header="734" w:footer="7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DD5" w:rsidRDefault="00835DD5">
      <w:r>
        <w:separator/>
      </w:r>
    </w:p>
  </w:endnote>
  <w:endnote w:type="continuationSeparator" w:id="0">
    <w:p w:rsidR="00835DD5" w:rsidRDefault="00835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mbria">
    <w:altName w:val="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VnTime"/>
    <w:panose1 w:val="020B7200000000000000"/>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42" w:rsidRDefault="00427A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5942" w:rsidRDefault="00495942">
    <w:pPr>
      <w:pStyle w:val="Footer"/>
      <w:ind w:right="360"/>
    </w:pPr>
  </w:p>
  <w:p w:rsidR="00495942" w:rsidRDefault="004959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42" w:rsidRDefault="00427ADD">
    <w:pPr>
      <w:pStyle w:val="Footer"/>
      <w:jc w:val="center"/>
    </w:pPr>
    <w:r>
      <w:fldChar w:fldCharType="begin"/>
    </w:r>
    <w:r>
      <w:instrText xml:space="preserve"> PAGE   \* MERGEFORMAT </w:instrText>
    </w:r>
    <w:r>
      <w:fldChar w:fldCharType="separate"/>
    </w:r>
    <w:r w:rsidR="00835DD5">
      <w:rPr>
        <w:noProof/>
      </w:rPr>
      <w:t>1</w:t>
    </w:r>
    <w:r>
      <w:rPr>
        <w:noProof/>
      </w:rPr>
      <w:fldChar w:fldCharType="end"/>
    </w:r>
  </w:p>
  <w:p w:rsidR="00495942" w:rsidRDefault="00495942">
    <w:pPr>
      <w:pStyle w:val="Footer"/>
      <w:ind w:right="360"/>
    </w:pPr>
  </w:p>
  <w:p w:rsidR="00495942" w:rsidRDefault="004959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DD5" w:rsidRDefault="00835DD5">
      <w:r>
        <w:separator/>
      </w:r>
    </w:p>
  </w:footnote>
  <w:footnote w:type="continuationSeparator" w:id="0">
    <w:p w:rsidR="00835DD5" w:rsidRDefault="00835D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F962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7A48A0F6"/>
    <w:lvl w:ilvl="0" w:tplc="10389258">
      <w:start w:val="1"/>
      <w:numFmt w:val="decimal"/>
      <w:lvlText w:val="%1."/>
      <w:lvlJc w:val="left"/>
      <w:pPr>
        <w:tabs>
          <w:tab w:val="left" w:pos="720"/>
        </w:tabs>
        <w:ind w:left="720" w:hanging="360"/>
      </w:pPr>
      <w:rPr>
        <w:b w:val="0"/>
        <w:color w:val="auto"/>
        <w:sz w:val="24"/>
        <w:szCs w:val="24"/>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multilevel"/>
    <w:tmpl w:val="FBDE38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0000004"/>
    <w:multiLevelType w:val="hybridMultilevel"/>
    <w:tmpl w:val="928EEDDE"/>
    <w:lvl w:ilvl="0" w:tplc="10389258">
      <w:start w:val="1"/>
      <w:numFmt w:val="decimal"/>
      <w:lvlText w:val="%1."/>
      <w:lvlJc w:val="left"/>
      <w:pPr>
        <w:tabs>
          <w:tab w:val="left" w:pos="720"/>
        </w:tabs>
        <w:ind w:left="720" w:hanging="360"/>
      </w:pPr>
      <w:rPr>
        <w:b w:val="0"/>
        <w:color w:val="auto"/>
        <w:sz w:val="24"/>
        <w:szCs w:val="24"/>
      </w:rPr>
    </w:lvl>
    <w:lvl w:ilvl="1" w:tplc="042A0019" w:tentative="1">
      <w:start w:val="1"/>
      <w:numFmt w:val="lowerLetter"/>
      <w:lvlText w:val="%2."/>
      <w:lvlJc w:val="left"/>
      <w:pPr>
        <w:tabs>
          <w:tab w:val="left" w:pos="1440"/>
        </w:tabs>
        <w:ind w:left="1440" w:hanging="360"/>
      </w:pPr>
    </w:lvl>
    <w:lvl w:ilvl="2" w:tplc="042A001B" w:tentative="1">
      <w:start w:val="1"/>
      <w:numFmt w:val="lowerRoman"/>
      <w:lvlText w:val="%3."/>
      <w:lvlJc w:val="right"/>
      <w:pPr>
        <w:tabs>
          <w:tab w:val="left" w:pos="2160"/>
        </w:tabs>
        <w:ind w:left="2160" w:hanging="180"/>
      </w:pPr>
    </w:lvl>
    <w:lvl w:ilvl="3" w:tplc="042A000F" w:tentative="1">
      <w:start w:val="1"/>
      <w:numFmt w:val="decimal"/>
      <w:lvlText w:val="%4."/>
      <w:lvlJc w:val="left"/>
      <w:pPr>
        <w:tabs>
          <w:tab w:val="left" w:pos="2880"/>
        </w:tabs>
        <w:ind w:left="2880" w:hanging="360"/>
      </w:pPr>
    </w:lvl>
    <w:lvl w:ilvl="4" w:tplc="042A0019" w:tentative="1">
      <w:start w:val="1"/>
      <w:numFmt w:val="lowerLetter"/>
      <w:lvlText w:val="%5."/>
      <w:lvlJc w:val="left"/>
      <w:pPr>
        <w:tabs>
          <w:tab w:val="left" w:pos="3600"/>
        </w:tabs>
        <w:ind w:left="3600" w:hanging="360"/>
      </w:pPr>
    </w:lvl>
    <w:lvl w:ilvl="5" w:tplc="042A001B" w:tentative="1">
      <w:start w:val="1"/>
      <w:numFmt w:val="lowerRoman"/>
      <w:lvlText w:val="%6."/>
      <w:lvlJc w:val="right"/>
      <w:pPr>
        <w:tabs>
          <w:tab w:val="left" w:pos="4320"/>
        </w:tabs>
        <w:ind w:left="4320" w:hanging="180"/>
      </w:pPr>
    </w:lvl>
    <w:lvl w:ilvl="6" w:tplc="042A000F" w:tentative="1">
      <w:start w:val="1"/>
      <w:numFmt w:val="decimal"/>
      <w:lvlText w:val="%7."/>
      <w:lvlJc w:val="left"/>
      <w:pPr>
        <w:tabs>
          <w:tab w:val="left" w:pos="5040"/>
        </w:tabs>
        <w:ind w:left="5040" w:hanging="360"/>
      </w:pPr>
    </w:lvl>
    <w:lvl w:ilvl="7" w:tplc="042A0019" w:tentative="1">
      <w:start w:val="1"/>
      <w:numFmt w:val="lowerLetter"/>
      <w:lvlText w:val="%8."/>
      <w:lvlJc w:val="left"/>
      <w:pPr>
        <w:tabs>
          <w:tab w:val="left" w:pos="5760"/>
        </w:tabs>
        <w:ind w:left="5760" w:hanging="360"/>
      </w:pPr>
    </w:lvl>
    <w:lvl w:ilvl="8" w:tplc="042A001B" w:tentative="1">
      <w:start w:val="1"/>
      <w:numFmt w:val="lowerRoman"/>
      <w:lvlText w:val="%9."/>
      <w:lvlJc w:val="right"/>
      <w:pPr>
        <w:tabs>
          <w:tab w:val="left" w:pos="6480"/>
        </w:tabs>
        <w:ind w:left="6480" w:hanging="180"/>
      </w:pPr>
    </w:lvl>
  </w:abstractNum>
  <w:abstractNum w:abstractNumId="4">
    <w:nsid w:val="00000005"/>
    <w:multiLevelType w:val="hybridMultilevel"/>
    <w:tmpl w:val="AB741600"/>
    <w:lvl w:ilvl="0" w:tplc="87762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0000006"/>
    <w:multiLevelType w:val="hybridMultilevel"/>
    <w:tmpl w:val="CFF69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4CD86928"/>
    <w:lvl w:ilvl="0" w:tplc="F1980F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D1646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7A48A0F6"/>
    <w:lvl w:ilvl="0" w:tplc="10389258">
      <w:start w:val="1"/>
      <w:numFmt w:val="decimal"/>
      <w:lvlText w:val="%1."/>
      <w:lvlJc w:val="left"/>
      <w:pPr>
        <w:tabs>
          <w:tab w:val="left" w:pos="720"/>
        </w:tabs>
        <w:ind w:left="720" w:hanging="360"/>
      </w:pPr>
      <w:rPr>
        <w:b w:val="0"/>
        <w:color w:val="auto"/>
        <w:sz w:val="24"/>
        <w:szCs w:val="24"/>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9">
    <w:nsid w:val="0000000A"/>
    <w:multiLevelType w:val="hybridMultilevel"/>
    <w:tmpl w:val="58844A84"/>
    <w:lvl w:ilvl="0" w:tplc="FF6425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3C9EEC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C97299D0"/>
    <w:lvl w:ilvl="0" w:tplc="AEF46620">
      <w:start w:val="1"/>
      <w:numFmt w:val="bullet"/>
      <w:lvlText w:val="-"/>
      <w:lvlJc w:val="left"/>
      <w:pPr>
        <w:ind w:left="1440" w:hanging="360"/>
      </w:pPr>
      <w:rPr>
        <w:rFonts w:ascii="Calibri" w:eastAsia="Calibri" w:hAnsi="Calibri" w:cs="SimSu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000000D"/>
    <w:multiLevelType w:val="hybridMultilevel"/>
    <w:tmpl w:val="27D8031C"/>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0000000E"/>
    <w:multiLevelType w:val="hybridMultilevel"/>
    <w:tmpl w:val="D6668BDA"/>
    <w:lvl w:ilvl="0" w:tplc="3C5AA516">
      <w:start w:val="39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4A4483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CDDACDD6"/>
    <w:lvl w:ilvl="0" w:tplc="0A2EEE44">
      <w:start w:val="1"/>
      <w:numFmt w:val="bullet"/>
      <w:lvlText w:val="-"/>
      <w:lvlJc w:val="left"/>
      <w:pPr>
        <w:ind w:left="1080" w:hanging="360"/>
      </w:pPr>
      <w:rPr>
        <w:rFonts w:ascii="Times New Roman" w:eastAsia="Times New Roman" w:hAnsi="Times New Roman" w:cs="Times New Roman" w:hint="default"/>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0000011"/>
    <w:multiLevelType w:val="multilevel"/>
    <w:tmpl w:val="3BACC024"/>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00000012"/>
    <w:multiLevelType w:val="hybridMultilevel"/>
    <w:tmpl w:val="279E53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0000013"/>
    <w:multiLevelType w:val="hybridMultilevel"/>
    <w:tmpl w:val="DCEE1B20"/>
    <w:lvl w:ilvl="0" w:tplc="3F5E4D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4"/>
    <w:multiLevelType w:val="hybridMultilevel"/>
    <w:tmpl w:val="58D2C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58D2C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6"/>
    <w:multiLevelType w:val="hybridMultilevel"/>
    <w:tmpl w:val="58D2C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7"/>
    <w:multiLevelType w:val="hybridMultilevel"/>
    <w:tmpl w:val="24BA57EC"/>
    <w:lvl w:ilvl="0" w:tplc="AEF46620">
      <w:start w:val="1"/>
      <w:numFmt w:val="bullet"/>
      <w:lvlText w:val="-"/>
      <w:lvlJc w:val="left"/>
      <w:pPr>
        <w:ind w:left="1440" w:hanging="360"/>
      </w:pPr>
      <w:rPr>
        <w:rFonts w:ascii="Calibri" w:eastAsia="Calibri" w:hAnsi="Calibri" w:cs="SimSu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00000018"/>
    <w:multiLevelType w:val="hybridMultilevel"/>
    <w:tmpl w:val="30545B0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3F77B90"/>
    <w:multiLevelType w:val="multilevel"/>
    <w:tmpl w:val="F90E15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2"/>
  </w:num>
  <w:num w:numId="2">
    <w:abstractNumId w:val="0"/>
  </w:num>
  <w:num w:numId="3">
    <w:abstractNumId w:val="1"/>
  </w:num>
  <w:num w:numId="4">
    <w:abstractNumId w:val="18"/>
  </w:num>
  <w:num w:numId="5">
    <w:abstractNumId w:val="24"/>
  </w:num>
  <w:num w:numId="6">
    <w:abstractNumId w:val="22"/>
  </w:num>
  <w:num w:numId="7">
    <w:abstractNumId w:val="7"/>
  </w:num>
  <w:num w:numId="8">
    <w:abstractNumId w:val="17"/>
  </w:num>
  <w:num w:numId="9">
    <w:abstractNumId w:val="4"/>
  </w:num>
  <w:num w:numId="10">
    <w:abstractNumId w:val="5"/>
  </w:num>
  <w:num w:numId="11">
    <w:abstractNumId w:val="15"/>
  </w:num>
  <w:num w:numId="12">
    <w:abstractNumId w:val="2"/>
  </w:num>
  <w:num w:numId="13">
    <w:abstractNumId w:val="9"/>
  </w:num>
  <w:num w:numId="14">
    <w:abstractNumId w:val="8"/>
  </w:num>
  <w:num w:numId="15">
    <w:abstractNumId w:val="10"/>
  </w:num>
  <w:num w:numId="16">
    <w:abstractNumId w:val="14"/>
  </w:num>
  <w:num w:numId="17">
    <w:abstractNumId w:val="13"/>
  </w:num>
  <w:num w:numId="18">
    <w:abstractNumId w:val="3"/>
  </w:num>
  <w:num w:numId="19">
    <w:abstractNumId w:val="6"/>
  </w:num>
  <w:num w:numId="20">
    <w:abstractNumId w:val="11"/>
  </w:num>
  <w:num w:numId="21">
    <w:abstractNumId w:val="16"/>
  </w:num>
  <w:num w:numId="22">
    <w:abstractNumId w:val="23"/>
  </w:num>
  <w:num w:numId="23">
    <w:abstractNumId w:val="19"/>
  </w:num>
  <w:num w:numId="24">
    <w:abstractNumId w:val="2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942"/>
    <w:rsid w:val="00427ADD"/>
    <w:rsid w:val="00482B2B"/>
    <w:rsid w:val="00495942"/>
    <w:rsid w:val="00835DD5"/>
    <w:rsid w:val="00A919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rPr>
  </w:style>
  <w:style w:type="paragraph" w:styleId="Heading1">
    <w:name w:val="heading 1"/>
    <w:basedOn w:val="Normal"/>
    <w:next w:val="Normal"/>
    <w:link w:val="Heading1Char"/>
    <w:uiPriority w:val="99"/>
    <w:qFormat/>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pPr>
      <w:widowControl w:val="0"/>
      <w:tabs>
        <w:tab w:val="left" w:pos="154"/>
        <w:tab w:val="left" w:pos="1022"/>
      </w:tabs>
      <w:spacing w:after="120" w:line="336" w:lineRule="auto"/>
      <w:jc w:val="both"/>
      <w:outlineLvl w:val="1"/>
    </w:pPr>
    <w:rPr>
      <w:b/>
      <w:i/>
      <w:color w:val="000000"/>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keepNext/>
      <w:keepLines/>
      <w:spacing w:before="200" w:line="276" w:lineRule="auto"/>
      <w:ind w:left="1152" w:hanging="1152"/>
      <w:outlineLvl w:val="5"/>
    </w:pPr>
    <w:rPr>
      <w:rFonts w:ascii="Cambria" w:eastAsia="MS Mincho" w:hAnsi="Cambria"/>
      <w:i/>
      <w:iCs/>
      <w:color w:val="243F60"/>
      <w:sz w:val="26"/>
      <w:szCs w:val="26"/>
    </w:rPr>
  </w:style>
  <w:style w:type="paragraph" w:styleId="Heading7">
    <w:name w:val="heading 7"/>
    <w:basedOn w:val="Normal"/>
    <w:next w:val="Normal"/>
    <w:link w:val="Heading7Char"/>
    <w:uiPriority w:val="9"/>
    <w:qFormat/>
    <w:pPr>
      <w:keepNext/>
      <w:keepLines/>
      <w:spacing w:before="200" w:line="276" w:lineRule="auto"/>
      <w:ind w:left="1296" w:hanging="1296"/>
      <w:outlineLvl w:val="6"/>
    </w:pPr>
    <w:rPr>
      <w:rFonts w:ascii="Cambria" w:eastAsia="MS Mincho" w:hAnsi="Cambria"/>
      <w:i/>
      <w:iCs/>
      <w:color w:val="404040"/>
      <w:sz w:val="26"/>
      <w:szCs w:val="26"/>
    </w:rPr>
  </w:style>
  <w:style w:type="paragraph" w:styleId="Heading8">
    <w:name w:val="heading 8"/>
    <w:basedOn w:val="Normal"/>
    <w:next w:val="Normal"/>
    <w:link w:val="Heading8Char"/>
    <w:uiPriority w:val="9"/>
    <w:qFormat/>
    <w:pPr>
      <w:keepNext/>
      <w:keepLines/>
      <w:spacing w:before="200" w:line="276" w:lineRule="auto"/>
      <w:ind w:left="1440" w:hanging="1440"/>
      <w:outlineLvl w:val="7"/>
    </w:pPr>
    <w:rPr>
      <w:rFonts w:ascii="Cambria" w:eastAsia="MS Mincho" w:hAnsi="Cambria"/>
      <w:color w:val="404040"/>
      <w:sz w:val="20"/>
      <w:szCs w:val="20"/>
    </w:rPr>
  </w:style>
  <w:style w:type="paragraph" w:styleId="Heading9">
    <w:name w:val="heading 9"/>
    <w:basedOn w:val="Normal"/>
    <w:next w:val="Normal"/>
    <w:uiPriority w:val="9"/>
    <w:qFormat/>
    <w:pPr>
      <w:keepNext/>
      <w:keepLines/>
      <w:spacing w:before="200" w:line="276" w:lineRule="auto"/>
      <w:ind w:left="1584" w:hanging="1584"/>
      <w:outlineLvl w:val="8"/>
    </w:pPr>
    <w:rPr>
      <w:rFonts w:ascii="Cambria" w:eastAsia="MS Mincho"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cs="Arial"/>
      <w:b/>
      <w:bCs/>
      <w:kern w:val="32"/>
      <w:sz w:val="32"/>
      <w:szCs w:val="32"/>
    </w:rPr>
  </w:style>
  <w:style w:type="character" w:customStyle="1" w:styleId="Heading2Char">
    <w:name w:val="Heading 2 Char"/>
    <w:link w:val="Heading2"/>
    <w:uiPriority w:val="9"/>
    <w:rPr>
      <w:rFonts w:ascii="Times New Roman" w:eastAsia="Times New Roman" w:hAnsi="Times New Roman"/>
      <w:b/>
      <w:i/>
      <w:color w:val="000000"/>
      <w:sz w:val="28"/>
      <w:szCs w:val="28"/>
    </w:rPr>
  </w:style>
  <w:style w:type="character" w:customStyle="1" w:styleId="Heading3Char">
    <w:name w:val="Heading 3 Char"/>
    <w:link w:val="Heading3"/>
    <w:rPr>
      <w:rFonts w:ascii="Arial" w:eastAsia="Times New Roman" w:hAnsi="Arial" w:cs="Arial"/>
      <w:b/>
      <w:bCs/>
      <w:sz w:val="26"/>
      <w:szCs w:val="26"/>
    </w:rPr>
  </w:style>
  <w:style w:type="character" w:customStyle="1" w:styleId="Heading4Char">
    <w:name w:val="Heading 4 Char"/>
    <w:link w:val="Heading4"/>
    <w:rPr>
      <w:rFonts w:ascii="Times New Roman" w:eastAsia="Times New Roman" w:hAnsi="Times New Roman" w:cs="Times New Roman"/>
      <w:b/>
      <w:bCs/>
      <w:sz w:val="28"/>
      <w:szCs w:val="28"/>
    </w:rPr>
  </w:style>
  <w:style w:type="character" w:customStyle="1" w:styleId="Heading5Char">
    <w:name w:val="Heading 5 Char"/>
    <w:link w:val="Heading5"/>
    <w:rPr>
      <w:rFonts w:ascii="Times New Roman" w:eastAsia="Times New Roman" w:hAnsi="Times New Roman"/>
      <w:b/>
      <w:bCs/>
      <w:i/>
      <w:iCs/>
      <w:sz w:val="26"/>
      <w:szCs w:val="26"/>
    </w:rPr>
  </w:style>
  <w:style w:type="character" w:customStyle="1" w:styleId="Heading6Char">
    <w:name w:val="Heading 6 Char"/>
    <w:link w:val="Heading6"/>
    <w:rPr>
      <w:rFonts w:ascii="Cambria" w:eastAsia="MS Mincho" w:hAnsi="Cambria"/>
      <w:i/>
      <w:iCs/>
      <w:color w:val="243F60"/>
      <w:sz w:val="26"/>
      <w:szCs w:val="26"/>
      <w:lang w:val="en-US" w:eastAsia="en-US" w:bidi="ar-SA"/>
    </w:rPr>
  </w:style>
  <w:style w:type="character" w:customStyle="1" w:styleId="Heading7Char">
    <w:name w:val="Heading 7 Char"/>
    <w:link w:val="Heading7"/>
    <w:rPr>
      <w:rFonts w:ascii="Cambria" w:eastAsia="MS Mincho" w:hAnsi="Cambria"/>
      <w:i/>
      <w:iCs/>
      <w:color w:val="404040"/>
      <w:sz w:val="26"/>
      <w:szCs w:val="26"/>
      <w:lang w:val="en-US" w:eastAsia="en-US" w:bidi="ar-SA"/>
    </w:rPr>
  </w:style>
  <w:style w:type="character" w:customStyle="1" w:styleId="Heading8Char">
    <w:name w:val="Heading 8 Char"/>
    <w:link w:val="Heading8"/>
    <w:rPr>
      <w:rFonts w:ascii="Cambria" w:eastAsia="MS Mincho" w:hAnsi="Cambria"/>
      <w:color w:val="404040"/>
      <w:lang w:val="en-US" w:eastAsia="en-US" w:bidi="ar-SA"/>
    </w:rPr>
  </w:style>
  <w:style w:type="paragraph" w:styleId="FootnoteText">
    <w:name w:val="footnote text"/>
    <w:basedOn w:val="Normal"/>
    <w:link w:val="FootnoteTextChar"/>
    <w:rPr>
      <w:rFonts w:ascii=".VnTime" w:eastAsia="Calibri" w:hAnsi=".VnTime"/>
      <w:sz w:val="20"/>
      <w:szCs w:val="20"/>
      <w:lang w:val="en-AU" w:eastAsia="en-AU"/>
    </w:rPr>
  </w:style>
  <w:style w:type="character" w:customStyle="1" w:styleId="FootnoteTextChar">
    <w:name w:val="Footnote Text Char"/>
    <w:link w:val="FootnoteText"/>
    <w:rPr>
      <w:rFonts w:ascii=".VnTime" w:eastAsia="Calibri" w:hAnsi=".VnTime" w:cs="Times New Roman"/>
      <w:sz w:val="20"/>
      <w:szCs w:val="20"/>
      <w:lang w:val="en-AU" w:eastAsia="en-AU"/>
    </w:rPr>
  </w:style>
  <w:style w:type="character" w:styleId="FootnoteReference">
    <w:name w:val="footnote reference"/>
    <w:rPr>
      <w:rFonts w:cs="Times New Roman"/>
      <w:b/>
      <w:sz w:val="26"/>
      <w:szCs w:val="28"/>
      <w:vertAlign w:val="superscript"/>
      <w:lang w:val="pt-BR" w:eastAsia="en-US" w:bidi="ar-SA"/>
    </w:rPr>
  </w:style>
  <w:style w:type="paragraph" w:styleId="Caption">
    <w:name w:val="caption"/>
    <w:basedOn w:val="Normal"/>
    <w:next w:val="Normal"/>
    <w:link w:val="CaptionChar"/>
    <w:qFormat/>
    <w:pPr>
      <w:ind w:firstLine="720"/>
      <w:jc w:val="center"/>
    </w:pPr>
    <w:rPr>
      <w:b/>
      <w:bCs/>
      <w:sz w:val="20"/>
      <w:szCs w:val="20"/>
    </w:rPr>
  </w:style>
  <w:style w:type="character" w:customStyle="1" w:styleId="CaptionChar">
    <w:name w:val="Caption Char"/>
    <w:link w:val="Caption"/>
    <w:rPr>
      <w:rFonts w:ascii="Times New Roman" w:eastAsia="Times New Roman" w:hAnsi="Times New Roman" w:cs="Times New Roman"/>
      <w:b/>
      <w:bCs/>
      <w:sz w:val="20"/>
      <w:szCs w:val="20"/>
    </w:rPr>
  </w:style>
  <w:style w:type="paragraph" w:customStyle="1" w:styleId="ColorfulList-Accent13">
    <w:name w:val="Colorful List - Accent 13"/>
    <w:basedOn w:val="Normal"/>
    <w:qFormat/>
    <w:pPr>
      <w:spacing w:after="200" w:line="276" w:lineRule="auto"/>
      <w:ind w:left="720"/>
      <w:contextualSpacing/>
    </w:pPr>
    <w:rPr>
      <w:rFonts w:eastAsia="Calibri"/>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paragraph" w:styleId="BodyTextIndent2">
    <w:name w:val="Body Text Indent 2"/>
    <w:basedOn w:val="Normal"/>
    <w:link w:val="BodyTextIndent2Char"/>
    <w:pPr>
      <w:widowControl w:val="0"/>
      <w:autoSpaceDE w:val="0"/>
      <w:autoSpaceDN w:val="0"/>
      <w:adjustRightInd w:val="0"/>
      <w:ind w:left="360"/>
      <w:jc w:val="both"/>
    </w:pPr>
    <w:rPr>
      <w:rFonts w:ascii="VNI-Times" w:hAnsi="VNI-Times"/>
      <w:b/>
      <w:bCs/>
    </w:rPr>
  </w:style>
  <w:style w:type="character" w:customStyle="1" w:styleId="BodyTextIndent2Char">
    <w:name w:val="Body Text Indent 2 Char"/>
    <w:link w:val="BodyTextIndent2"/>
    <w:rPr>
      <w:rFonts w:ascii="VNI-Times" w:eastAsia="Times New Roman" w:hAnsi="VNI-Times" w:cs="VNI-Times"/>
      <w:b/>
      <w:bCs/>
      <w:sz w:val="24"/>
      <w:szCs w:val="24"/>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eastAsia="Times New Roman" w:hAnsi="Tahoma" w:cs="Tahoma"/>
      <w:sz w:val="16"/>
      <w:szCs w:val="16"/>
    </w:rPr>
  </w:style>
  <w:style w:type="paragraph" w:customStyle="1" w:styleId="GridTable31">
    <w:name w:val="Grid Table 31"/>
    <w:basedOn w:val="Heading1"/>
    <w:next w:val="Normal"/>
    <w:uiPriority w:val="39"/>
    <w:qFormat/>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uiPriority w:val="39"/>
    <w:qFormat/>
    <w:pPr>
      <w:tabs>
        <w:tab w:val="right" w:leader="dot" w:pos="8778"/>
      </w:tabs>
      <w:spacing w:after="100" w:line="276" w:lineRule="auto"/>
    </w:pPr>
    <w:rPr>
      <w:b/>
      <w:noProof/>
      <w:sz w:val="32"/>
      <w:szCs w:val="28"/>
      <w:lang w:val="vi-VN"/>
    </w:rPr>
  </w:style>
  <w:style w:type="paragraph" w:styleId="TOC2">
    <w:name w:val="toc 2"/>
    <w:basedOn w:val="Normal"/>
    <w:next w:val="Normal"/>
    <w:uiPriority w:val="39"/>
    <w:qFormat/>
    <w:pPr>
      <w:tabs>
        <w:tab w:val="right" w:leader="dot" w:pos="8760"/>
      </w:tabs>
      <w:spacing w:line="360" w:lineRule="auto"/>
      <w:ind w:left="720" w:right="268" w:hanging="720"/>
      <w:jc w:val="both"/>
    </w:pPr>
    <w:rPr>
      <w:b/>
      <w:noProof/>
      <w:spacing w:val="-4"/>
      <w:sz w:val="28"/>
      <w:szCs w:val="28"/>
    </w:rPr>
  </w:style>
  <w:style w:type="paragraph" w:styleId="TOC3">
    <w:name w:val="toc 3"/>
    <w:basedOn w:val="Normal"/>
    <w:next w:val="Normal"/>
    <w:uiPriority w:val="39"/>
    <w:qFormat/>
    <w:pPr>
      <w:spacing w:after="100"/>
      <w:ind w:left="480"/>
    </w:pPr>
  </w:style>
  <w:style w:type="character" w:styleId="Hyperlink">
    <w:name w:val="Hyperlink"/>
    <w:uiPriority w:val="99"/>
    <w:rPr>
      <w:color w:val="0000FF"/>
      <w:u w:val="single"/>
    </w:rPr>
  </w:style>
  <w:style w:type="paragraph" w:customStyle="1" w:styleId="MediumGrid22">
    <w:name w:val="Medium Grid 22"/>
    <w:uiPriority w:val="1"/>
    <w:qFormat/>
    <w:rPr>
      <w:sz w:val="22"/>
      <w:szCs w:val="22"/>
    </w:rPr>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paragraph" w:styleId="TableofFigures">
    <w:name w:val="table of figures"/>
    <w:basedOn w:val="Normal"/>
    <w:next w:val="Normal"/>
    <w:uiPriority w:val="99"/>
  </w:style>
  <w:style w:type="paragraph" w:styleId="NormalWeb">
    <w:name w:val="Normal (Web)"/>
    <w:basedOn w:val="Normal"/>
    <w:uiPriority w:val="99"/>
    <w:pPr>
      <w:spacing w:before="100" w:beforeAutospacing="1" w:after="100" w:afterAutospacing="1"/>
    </w:pPr>
    <w:rPr>
      <w:rFonts w:eastAsia="Calibri"/>
    </w:rPr>
  </w:style>
  <w:style w:type="character" w:customStyle="1" w:styleId="bodycontent1">
    <w:name w:val="bodycontent1"/>
    <w:rPr>
      <w:color w:val="333333"/>
      <w:sz w:val="20"/>
      <w:szCs w:val="2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rFonts w:ascii="Times New Roman" w:eastAsia="Times New Roman" w:hAnsi="Times New Roman" w:cs="Times New Roman"/>
      <w:sz w:val="24"/>
      <w:szCs w:val="24"/>
    </w:r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uiPriority w:val="39"/>
    <w:pPr>
      <w:ind w:left="720"/>
    </w:pPr>
  </w:style>
  <w:style w:type="paragraph" w:styleId="DocumentMap">
    <w:name w:val="Document Map"/>
    <w:basedOn w:val="Normal"/>
    <w:link w:val="DocumentMapChar"/>
    <w:uiPriority w:val="99"/>
    <w:rPr>
      <w:rFonts w:ascii="Tahoma" w:hAnsi="Tahoma"/>
      <w:sz w:val="16"/>
      <w:szCs w:val="16"/>
    </w:rPr>
  </w:style>
  <w:style w:type="character" w:customStyle="1" w:styleId="DocumentMapChar">
    <w:name w:val="Document Map Char"/>
    <w:link w:val="DocumentMap"/>
    <w:uiPriority w:val="99"/>
    <w:rPr>
      <w:rFonts w:ascii="Tahoma" w:eastAsia="Times New Roman" w:hAnsi="Tahoma" w:cs="Tahoma"/>
      <w:sz w:val="16"/>
      <w:szCs w:val="16"/>
    </w:rPr>
  </w:style>
  <w:style w:type="paragraph" w:styleId="TOC5">
    <w:name w:val="toc 5"/>
    <w:basedOn w:val="Normal"/>
    <w:next w:val="Normal"/>
    <w:uiPriority w:val="39"/>
    <w:pPr>
      <w:spacing w:after="100" w:line="276" w:lineRule="auto"/>
      <w:ind w:left="880"/>
    </w:pPr>
    <w:rPr>
      <w:rFonts w:ascii="Calibri" w:hAnsi="Calibri"/>
      <w:sz w:val="22"/>
      <w:szCs w:val="22"/>
    </w:rPr>
  </w:style>
  <w:style w:type="paragraph" w:styleId="TOC6">
    <w:name w:val="toc 6"/>
    <w:basedOn w:val="Normal"/>
    <w:next w:val="Normal"/>
    <w:uiPriority w:val="39"/>
    <w:pPr>
      <w:spacing w:after="100" w:line="276" w:lineRule="auto"/>
      <w:ind w:left="1100"/>
    </w:pPr>
    <w:rPr>
      <w:rFonts w:ascii="Calibri" w:hAnsi="Calibri"/>
      <w:sz w:val="22"/>
      <w:szCs w:val="22"/>
    </w:rPr>
  </w:style>
  <w:style w:type="paragraph" w:styleId="TOC7">
    <w:name w:val="toc 7"/>
    <w:basedOn w:val="Normal"/>
    <w:next w:val="Normal"/>
    <w:uiPriority w:val="39"/>
    <w:pPr>
      <w:spacing w:after="100" w:line="276" w:lineRule="auto"/>
      <w:ind w:left="1320"/>
    </w:pPr>
    <w:rPr>
      <w:rFonts w:ascii="Calibri" w:hAnsi="Calibri"/>
      <w:sz w:val="22"/>
      <w:szCs w:val="22"/>
    </w:rPr>
  </w:style>
  <w:style w:type="paragraph" w:styleId="TOC8">
    <w:name w:val="toc 8"/>
    <w:basedOn w:val="Normal"/>
    <w:next w:val="Normal"/>
    <w:uiPriority w:val="39"/>
    <w:pPr>
      <w:spacing w:after="100" w:line="276" w:lineRule="auto"/>
      <w:ind w:left="1540"/>
    </w:pPr>
    <w:rPr>
      <w:rFonts w:ascii="Calibri" w:hAnsi="Calibri"/>
      <w:sz w:val="22"/>
      <w:szCs w:val="22"/>
    </w:rPr>
  </w:style>
  <w:style w:type="paragraph" w:styleId="TOC9">
    <w:name w:val="toc 9"/>
    <w:basedOn w:val="Normal"/>
    <w:next w:val="Normal"/>
    <w:uiPriority w:val="39"/>
    <w:pPr>
      <w:spacing w:after="100" w:line="276" w:lineRule="auto"/>
      <w:ind w:left="1760"/>
    </w:pPr>
    <w:rPr>
      <w:rFonts w:ascii="Calibri" w:hAnsi="Calibri"/>
      <w:sz w:val="22"/>
      <w:szCs w:val="22"/>
    </w:rPr>
  </w:style>
  <w:style w:type="paragraph" w:customStyle="1" w:styleId="CharCharCharChar">
    <w:name w:val="Char Char Char Char"/>
    <w:basedOn w:val="Normal"/>
    <w:pPr>
      <w:spacing w:before="100" w:beforeAutospacing="1" w:after="100" w:afterAutospacing="1"/>
    </w:pPr>
    <w:rPr>
      <w:rFonts w:ascii="Tahoma" w:hAnsi="Tahoma"/>
      <w:sz w:val="20"/>
      <w:szCs w:val="20"/>
    </w:rPr>
  </w:style>
  <w:style w:type="paragraph" w:styleId="NormalIndent">
    <w:name w:val="Normal Indent"/>
    <w:basedOn w:val="Normal"/>
    <w:pPr>
      <w:ind w:left="720"/>
    </w:pPr>
  </w:style>
  <w:style w:type="character" w:customStyle="1" w:styleId="Heading3Char20df6c75-8300-468f-bbca-002543cc4bdb">
    <w:name w:val="Heading 3 Char_20df6c75-8300-468f-bbca-002543cc4bdb"/>
    <w:rPr>
      <w:rFonts w:ascii="Arial" w:hAnsi="Arial"/>
      <w:b/>
      <w:sz w:val="26"/>
    </w:rPr>
  </w:style>
  <w:style w:type="character" w:customStyle="1" w:styleId="Heading2Charb99006b6-a45a-4a81-9bc1-9bef642b3053">
    <w:name w:val="Heading 2 Char_b99006b6-a45a-4a81-9bc1-9bef642b3053"/>
    <w:rPr>
      <w:rFonts w:ascii="Times New Roman" w:hAnsi="Times New Roman"/>
      <w:b/>
      <w:sz w:val="24"/>
    </w:rPr>
  </w:style>
  <w:style w:type="character" w:styleId="CommentReference">
    <w:name w:val="annotation reference"/>
    <w:rPr>
      <w:sz w:val="16"/>
    </w:rPr>
  </w:style>
  <w:style w:type="paragraph" w:styleId="CommentText">
    <w:name w:val="annotation text"/>
    <w:basedOn w:val="Normal"/>
    <w:link w:val="CommentTextChar"/>
    <w:rPr>
      <w:rFonts w:ascii="Calibri" w:eastAsia="Calibri" w:hAnsi="Calibri"/>
      <w:sz w:val="20"/>
      <w:szCs w:val="20"/>
    </w:rPr>
  </w:style>
  <w:style w:type="character" w:customStyle="1" w:styleId="CommentTextChar">
    <w:name w:val="Comment Text Char"/>
    <w:link w:val="CommentText"/>
    <w:rPr>
      <w:rFonts w:eastAsia="Calibri"/>
      <w:lang w:val="en-US" w:eastAsia="en-US" w:bidi="ar-SA"/>
    </w:rPr>
  </w:style>
  <w:style w:type="character" w:customStyle="1" w:styleId="Heading1Chare7d8cb14-596a-4cb7-afe7-2f0b92dee78c">
    <w:name w:val="Heading 1 Char_e7d8cb14-596a-4cb7-afe7-2f0b92dee78c"/>
    <w:rPr>
      <w:rFonts w:ascii="Arial" w:hAnsi="Arial"/>
      <w:b/>
      <w:kern w:val="32"/>
      <w:sz w:val="32"/>
    </w:rPr>
  </w:style>
  <w:style w:type="paragraph" w:customStyle="1" w:styleId="MediumGrid21">
    <w:name w:val="Medium Grid 21"/>
    <w:link w:val="MediumGrid2Char"/>
    <w:uiPriority w:val="1"/>
    <w:qFormat/>
    <w:rPr>
      <w:rFonts w:ascii="Arial" w:eastAsia="Times New Roman" w:hAnsi="Arial"/>
      <w:sz w:val="22"/>
      <w:szCs w:val="22"/>
    </w:rPr>
  </w:style>
  <w:style w:type="character" w:customStyle="1" w:styleId="MediumGrid2Char">
    <w:name w:val="Medium Grid 2 Char"/>
    <w:link w:val="MediumGrid21"/>
    <w:uiPriority w:val="1"/>
    <w:rPr>
      <w:rFonts w:ascii="Arial" w:eastAsia="Times New Roman" w:hAnsi="Arial"/>
      <w:sz w:val="22"/>
      <w:szCs w:val="22"/>
      <w:lang w:bidi="ar-SA"/>
    </w:rPr>
  </w:style>
  <w:style w:type="character" w:customStyle="1" w:styleId="st">
    <w:name w:val="st"/>
    <w:rPr>
      <w:rFonts w:cs="Times New Roman"/>
    </w:rPr>
  </w:style>
  <w:style w:type="paragraph" w:customStyle="1" w:styleId="ColorfulList-Accent11">
    <w:name w:val="Colorful List - Accent 11"/>
    <w:basedOn w:val="Normal"/>
    <w:link w:val="ColorfulList-Accent1Char1"/>
    <w:qFormat/>
    <w:pPr>
      <w:spacing w:after="200" w:line="276" w:lineRule="auto"/>
      <w:ind w:left="720"/>
      <w:contextualSpacing/>
    </w:pPr>
    <w:rPr>
      <w:rFonts w:eastAsia="Calibri"/>
      <w:sz w:val="28"/>
      <w:szCs w:val="28"/>
    </w:rPr>
  </w:style>
  <w:style w:type="character" w:customStyle="1" w:styleId="ColorfulList-Accent1Char1">
    <w:name w:val="Colorful List - Accent 1 Char1"/>
    <w:link w:val="ColorfulList-Accent11"/>
    <w:rPr>
      <w:rFonts w:ascii="Times New Roman" w:hAnsi="Times New Roman"/>
      <w:sz w:val="28"/>
      <w:szCs w:val="28"/>
    </w:rPr>
  </w:style>
  <w:style w:type="character" w:customStyle="1" w:styleId="CharChar19">
    <w:name w:val="Char Char19"/>
    <w:rPr>
      <w:rFonts w:ascii="Arial" w:hAnsi="Arial"/>
      <w:b/>
      <w:kern w:val="32"/>
      <w:sz w:val="32"/>
      <w:lang w:eastAsia="ja-JP"/>
    </w:rPr>
  </w:style>
  <w:style w:type="character" w:customStyle="1" w:styleId="CharChar18">
    <w:name w:val="Char Char18"/>
    <w:rPr>
      <w:rFonts w:ascii="Arial" w:hAnsi="Arial"/>
      <w:b/>
      <w:i/>
      <w:sz w:val="28"/>
      <w:lang w:eastAsia="ja-JP"/>
    </w:rPr>
  </w:style>
  <w:style w:type="character" w:customStyle="1" w:styleId="CharChar17">
    <w:name w:val="Char Char17"/>
    <w:rPr>
      <w:rFonts w:ascii=".VnTime" w:hAnsi=".VnTime"/>
      <w:b/>
      <w:color w:val="0000FF"/>
      <w:sz w:val="26"/>
    </w:rPr>
  </w:style>
  <w:style w:type="character" w:customStyle="1" w:styleId="CharChar16">
    <w:name w:val="Char Char16"/>
    <w:rPr>
      <w:b/>
      <w:sz w:val="28"/>
      <w:lang w:eastAsia="ja-JP"/>
    </w:rPr>
  </w:style>
  <w:style w:type="character" w:customStyle="1" w:styleId="CharChar15">
    <w:name w:val="Char Char15"/>
    <w:rPr>
      <w:rFonts w:ascii="Cambria" w:hAnsi="Cambria"/>
      <w:color w:val="243F60"/>
      <w:sz w:val="26"/>
    </w:rPr>
  </w:style>
  <w:style w:type="paragraph" w:customStyle="1" w:styleId="CharCharChar">
    <w:name w:val="Char Char Char"/>
    <w:basedOn w:val="Normal"/>
    <w:pPr>
      <w:tabs>
        <w:tab w:val="left" w:pos="709"/>
      </w:tabs>
    </w:pPr>
    <w:rPr>
      <w:rFonts w:ascii="Tahoma" w:eastAsia="MS Mincho" w:hAnsi="Tahoma"/>
      <w:lang w:val="pl-PL" w:eastAsia="pl-PL"/>
    </w:rPr>
  </w:style>
  <w:style w:type="paragraph" w:customStyle="1" w:styleId="TNN-Bullet2">
    <w:name w:val="TNN-Bullet2"/>
    <w:basedOn w:val="Normal"/>
    <w:link w:val="TNN-Bullet2CharChar"/>
    <w:pPr>
      <w:spacing w:before="120" w:after="120" w:line="312" w:lineRule="auto"/>
      <w:ind w:firstLine="680"/>
      <w:jc w:val="both"/>
    </w:pPr>
    <w:rPr>
      <w:rFonts w:ascii="Calibri" w:eastAsia="MS Mincho" w:hAnsi="Calibri"/>
      <w:color w:val="000000"/>
      <w:sz w:val="28"/>
      <w:szCs w:val="20"/>
      <w:lang w:val="vi-VN"/>
    </w:rPr>
  </w:style>
  <w:style w:type="character" w:customStyle="1" w:styleId="TNN-Bullet2CharChar">
    <w:name w:val="TNN-Bullet2 Char Char"/>
    <w:link w:val="TNN-Bullet2"/>
    <w:rPr>
      <w:rFonts w:eastAsia="MS Mincho"/>
      <w:color w:val="000000"/>
      <w:sz w:val="28"/>
      <w:lang w:val="vi-VN" w:eastAsia="en-US" w:bidi="ar-SA"/>
    </w:rPr>
  </w:style>
  <w:style w:type="paragraph" w:customStyle="1" w:styleId="CharCharCharChar0">
    <w:name w:val="Char Char Char Char"/>
    <w:basedOn w:val="Normal"/>
    <w:pPr>
      <w:spacing w:before="100" w:beforeAutospacing="1" w:after="100" w:afterAutospacing="1"/>
    </w:pPr>
    <w:rPr>
      <w:rFonts w:ascii="Tahoma" w:eastAsia="MS Mincho" w:hAnsi="Tahoma"/>
      <w:sz w:val="20"/>
      <w:szCs w:val="20"/>
    </w:rPr>
  </w:style>
  <w:style w:type="paragraph" w:styleId="BodyText">
    <w:name w:val="Body Text"/>
    <w:basedOn w:val="Normal"/>
    <w:pPr>
      <w:jc w:val="both"/>
    </w:pPr>
    <w:rPr>
      <w:rFonts w:ascii=".VnTime" w:hAnsi=".VnTime"/>
      <w:sz w:val="28"/>
      <w:szCs w:val="20"/>
    </w:rPr>
  </w:style>
  <w:style w:type="character" w:customStyle="1" w:styleId="CharChar6">
    <w:name w:val="Char Char6"/>
    <w:rPr>
      <w:rFonts w:ascii="Cambria" w:hAnsi="Cambria"/>
      <w:b/>
      <w:color w:val="4F81BD"/>
    </w:rPr>
  </w:style>
  <w:style w:type="character" w:customStyle="1" w:styleId="CharChar2">
    <w:name w:val="Char Char2"/>
    <w:rPr>
      <w:rFonts w:ascii="VNI-Times" w:hAnsi="VNI-Times"/>
      <w:b/>
      <w:sz w:val="24"/>
    </w:rPr>
  </w:style>
  <w:style w:type="paragraph" w:customStyle="1" w:styleId="DefaultParagraphFontChar">
    <w:name w:val="Default Paragraph Font Char"/>
    <w:basedOn w:val="Normal"/>
    <w:pPr>
      <w:spacing w:before="100" w:beforeAutospacing="1" w:after="100" w:afterAutospacing="1" w:line="360" w:lineRule="exact"/>
      <w:ind w:firstLine="720"/>
      <w:jc w:val="both"/>
    </w:pPr>
    <w:rPr>
      <w:rFonts w:ascii="Arial" w:eastAsia="MS Mincho" w:hAnsi="Arial" w:cs="Arial"/>
      <w:sz w:val="22"/>
      <w:szCs w:val="22"/>
    </w:rPr>
  </w:style>
  <w:style w:type="paragraph" w:customStyle="1" w:styleId="bngbiu">
    <w:name w:val="bảng biểu"/>
    <w:basedOn w:val="TableofFigures"/>
    <w:next w:val="TableofFigures"/>
    <w:link w:val="bngbiuChar"/>
    <w:qFormat/>
    <w:pPr>
      <w:spacing w:before="60" w:after="60"/>
    </w:pPr>
    <w:rPr>
      <w:rFonts w:ascii="Calibri" w:eastAsia="Calibri" w:hAnsi="Calibri"/>
      <w:b/>
      <w:sz w:val="26"/>
      <w:szCs w:val="20"/>
    </w:rPr>
  </w:style>
  <w:style w:type="character" w:customStyle="1" w:styleId="bngbiuChar">
    <w:name w:val="bảng biểu Char"/>
    <w:link w:val="bngbiu"/>
    <w:rPr>
      <w:b/>
      <w:sz w:val="26"/>
      <w:lang w:val="en-US" w:eastAsia="en-US" w:bidi="ar-SA"/>
    </w:rPr>
  </w:style>
  <w:style w:type="paragraph" w:customStyle="1" w:styleId="a">
    <w:name w:val="a"/>
    <w:basedOn w:val="Normal"/>
    <w:link w:val="aChar"/>
    <w:pPr>
      <w:spacing w:line="288" w:lineRule="auto"/>
      <w:ind w:firstLine="720"/>
      <w:jc w:val="both"/>
    </w:pPr>
    <w:rPr>
      <w:rFonts w:ascii="Calibri" w:eastAsia="Calibri" w:hAnsi="Calibri"/>
      <w:sz w:val="28"/>
      <w:szCs w:val="20"/>
      <w:lang w:val="vi-VN"/>
    </w:rPr>
  </w:style>
  <w:style w:type="character" w:customStyle="1" w:styleId="aChar">
    <w:name w:val="a Char"/>
    <w:link w:val="a"/>
    <w:rPr>
      <w:sz w:val="28"/>
      <w:lang w:val="vi-VN" w:eastAsia="en-US" w:bidi="ar-SA"/>
    </w:rPr>
  </w:style>
  <w:style w:type="paragraph" w:customStyle="1" w:styleId="TOCHeading1">
    <w:name w:val="TOC Heading1"/>
    <w:basedOn w:val="Heading1"/>
    <w:next w:val="Normal"/>
    <w:uiPriority w:val="39"/>
    <w:qFormat/>
    <w:pPr>
      <w:keepLines/>
      <w:spacing w:before="480" w:after="0" w:line="276" w:lineRule="auto"/>
      <w:outlineLvl w:val="9"/>
    </w:pPr>
    <w:rPr>
      <w:rFonts w:ascii="Cambria" w:eastAsia="MS Mincho" w:hAnsi="Cambria"/>
      <w:color w:val="365F91"/>
      <w:kern w:val="0"/>
      <w:sz w:val="28"/>
      <w:szCs w:val="28"/>
    </w:rPr>
  </w:style>
  <w:style w:type="paragraph" w:customStyle="1" w:styleId="Q3">
    <w:name w:val="Q3"/>
    <w:basedOn w:val="Normal"/>
    <w:pPr>
      <w:tabs>
        <w:tab w:val="left" w:pos="170"/>
      </w:tabs>
      <w:spacing w:before="120" w:line="240" w:lineRule="atLeast"/>
      <w:jc w:val="both"/>
    </w:pPr>
    <w:rPr>
      <w:rFonts w:eastAsia="MS Mincho"/>
      <w:bCs/>
      <w:iCs/>
      <w:color w:val="000000"/>
      <w:sz w:val="26"/>
      <w:szCs w:val="26"/>
    </w:rPr>
  </w:style>
  <w:style w:type="paragraph" w:customStyle="1" w:styleId="Q2">
    <w:name w:val="Q2"/>
    <w:basedOn w:val="Normal"/>
    <w:pPr>
      <w:spacing w:before="240" w:after="120" w:line="240" w:lineRule="atLeast"/>
      <w:jc w:val="both"/>
    </w:pPr>
    <w:rPr>
      <w:rFonts w:eastAsia="MS Mincho"/>
      <w:b/>
      <w:bCs/>
      <w:sz w:val="26"/>
      <w:szCs w:val="26"/>
      <w:lang w:val="de-DE"/>
    </w:rPr>
  </w:style>
  <w:style w:type="paragraph" w:customStyle="1" w:styleId="tm">
    <w:name w:val="tm"/>
    <w:basedOn w:val="Normal"/>
    <w:pPr>
      <w:spacing w:before="120" w:line="336" w:lineRule="auto"/>
      <w:ind w:firstLine="567"/>
      <w:jc w:val="both"/>
    </w:pPr>
    <w:rPr>
      <w:rFonts w:eastAsia="MS Mincho"/>
      <w:sz w:val="26"/>
      <w:szCs w:val="26"/>
    </w:rPr>
  </w:style>
  <w:style w:type="paragraph" w:customStyle="1" w:styleId="Bang">
    <w:name w:val="Bang"/>
    <w:basedOn w:val="Normal"/>
    <w:link w:val="BangChar"/>
    <w:qFormat/>
    <w:pPr>
      <w:spacing w:before="120" w:after="120"/>
      <w:jc w:val="center"/>
    </w:pPr>
    <w:rPr>
      <w:rFonts w:ascii="Calibri" w:eastAsia="Calibri" w:hAnsi="Calibri"/>
      <w:i/>
      <w:sz w:val="26"/>
      <w:szCs w:val="20"/>
    </w:rPr>
  </w:style>
  <w:style w:type="character" w:customStyle="1" w:styleId="BangChar">
    <w:name w:val="Bang Char"/>
    <w:link w:val="Bang"/>
    <w:rPr>
      <w:i/>
      <w:sz w:val="26"/>
      <w:lang w:bidi="ar-SA"/>
    </w:rPr>
  </w:style>
  <w:style w:type="paragraph" w:styleId="BodyTextIndent3">
    <w:name w:val="Body Text Indent 3"/>
    <w:basedOn w:val="Normal"/>
    <w:pPr>
      <w:spacing w:after="120" w:line="276" w:lineRule="auto"/>
      <w:ind w:left="360"/>
    </w:pPr>
    <w:rPr>
      <w:rFonts w:ascii="Calibri" w:hAnsi="Calibri"/>
      <w:sz w:val="16"/>
      <w:szCs w:val="16"/>
    </w:rPr>
  </w:style>
  <w:style w:type="paragraph" w:customStyle="1" w:styleId="body">
    <w:name w:val="body"/>
    <w:basedOn w:val="BodyText2"/>
    <w:link w:val="bodyChar"/>
    <w:pPr>
      <w:widowControl w:val="0"/>
      <w:spacing w:before="40" w:after="60" w:line="240" w:lineRule="auto"/>
      <w:jc w:val="center"/>
    </w:pPr>
    <w:rPr>
      <w:rFonts w:ascii="Calibri" w:eastAsia="Calibri" w:hAnsi="Calibri"/>
      <w:b/>
      <w:spacing w:val="4"/>
      <w:sz w:val="26"/>
      <w:szCs w:val="20"/>
    </w:rPr>
  </w:style>
  <w:style w:type="paragraph" w:styleId="BodyText2">
    <w:name w:val="Body Text 2"/>
    <w:basedOn w:val="Normal"/>
    <w:pPr>
      <w:spacing w:after="120" w:line="480" w:lineRule="auto"/>
    </w:pPr>
    <w:rPr>
      <w:rFonts w:eastAsia="MS Mincho"/>
      <w:lang w:eastAsia="ja-JP"/>
    </w:rPr>
  </w:style>
  <w:style w:type="character" w:customStyle="1" w:styleId="bodyChar">
    <w:name w:val="body Char"/>
    <w:link w:val="body"/>
    <w:rPr>
      <w:b/>
      <w:spacing w:val="4"/>
      <w:sz w:val="26"/>
      <w:lang w:bidi="ar-SA"/>
    </w:rPr>
  </w:style>
  <w:style w:type="paragraph" w:customStyle="1" w:styleId="Hinh">
    <w:name w:val="Hinh."/>
    <w:basedOn w:val="BodyText"/>
    <w:qFormat/>
    <w:pPr>
      <w:tabs>
        <w:tab w:val="left" w:pos="720"/>
      </w:tabs>
      <w:jc w:val="center"/>
    </w:pPr>
    <w:rPr>
      <w:rFonts w:ascii="Arial" w:eastAsia="MS Mincho" w:hAnsi="Arial" w:cs=".VnTime"/>
      <w:i/>
      <w:sz w:val="24"/>
      <w:szCs w:val="28"/>
    </w:rPr>
  </w:style>
  <w:style w:type="paragraph" w:customStyle="1" w:styleId="1">
    <w:name w:val="1"/>
    <w:basedOn w:val="Normal"/>
    <w:qFormat/>
    <w:pPr>
      <w:spacing w:after="200" w:line="276" w:lineRule="auto"/>
      <w:jc w:val="both"/>
    </w:pPr>
    <w:rPr>
      <w:b/>
      <w:sz w:val="26"/>
      <w:szCs w:val="26"/>
    </w:rPr>
  </w:style>
  <w:style w:type="paragraph" w:customStyle="1" w:styleId="11">
    <w:name w:val="1.1"/>
    <w:basedOn w:val="Normal"/>
    <w:qFormat/>
    <w:pPr>
      <w:spacing w:after="200" w:line="276" w:lineRule="auto"/>
      <w:jc w:val="both"/>
    </w:pPr>
    <w:rPr>
      <w:i/>
      <w:sz w:val="26"/>
      <w:szCs w:val="26"/>
    </w:rPr>
  </w:style>
  <w:style w:type="character" w:styleId="Emphasis">
    <w:name w:val="Emphasis"/>
    <w:qFormat/>
    <w:rPr>
      <w:i/>
    </w:rPr>
  </w:style>
  <w:style w:type="paragraph" w:customStyle="1" w:styleId="NoSpacing1">
    <w:name w:val="No Spacing1"/>
    <w:link w:val="NoSpacingChar"/>
    <w:qFormat/>
    <w:rPr>
      <w:rFonts w:ascii="Arial" w:eastAsia="MS Mincho" w:hAnsi="Arial"/>
      <w:sz w:val="22"/>
    </w:rPr>
  </w:style>
  <w:style w:type="character" w:customStyle="1" w:styleId="NoSpacingChar">
    <w:name w:val="No Spacing Char"/>
    <w:link w:val="NoSpacing1"/>
    <w:rPr>
      <w:rFonts w:ascii="Arial" w:eastAsia="MS Mincho" w:hAnsi="Arial"/>
      <w:sz w:val="22"/>
      <w:lang w:bidi="ar-SA"/>
    </w:rPr>
  </w:style>
  <w:style w:type="character" w:customStyle="1" w:styleId="ColorfulList-Accent1Char">
    <w:name w:val="Colorful List - Accent 1 Char"/>
    <w:link w:val="MediumList2-Accent4"/>
    <w:rPr>
      <w:rFonts w:ascii="Times New Roman" w:hAnsi="Times New Roman"/>
      <w:sz w:val="26"/>
    </w:rPr>
  </w:style>
  <w:style w:type="table" w:styleId="MediumList2-Accent4">
    <w:name w:val="Medium List 2 Accent 4"/>
    <w:basedOn w:val="TableNormal"/>
    <w:link w:val="ColorfulList-Accent1Char"/>
    <w:rPr>
      <w:rFonts w:ascii="Times New Roman" w:hAnsi="Times New Roman"/>
      <w:sz w:val="26"/>
    </w:rPr>
    <w:tblPr>
      <w:tblStyleRowBandSize w:val="1"/>
      <w:tblStyleColBandSize w:val="1"/>
      <w:tblInd w:w="0" w:type="dxa"/>
      <w:shd w:val="clear" w:color="auto" w:fill="EDF2F8"/>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utrc2">
    <w:name w:val="CÊu tróc2"/>
    <w:basedOn w:val="Normal"/>
    <w:link w:val="Cutrc2Char"/>
    <w:pPr>
      <w:tabs>
        <w:tab w:val="left" w:pos="756"/>
      </w:tabs>
      <w:spacing w:before="160"/>
      <w:ind w:left="756" w:hanging="576"/>
      <w:jc w:val="both"/>
    </w:pPr>
    <w:rPr>
      <w:rFonts w:ascii=".VnTime" w:eastAsia="MS Mincho" w:hAnsi=".VnTime"/>
      <w:sz w:val="28"/>
      <w:szCs w:val="20"/>
    </w:rPr>
  </w:style>
  <w:style w:type="character" w:customStyle="1" w:styleId="Cutrc2Char">
    <w:name w:val="CÊu tróc2 Char"/>
    <w:link w:val="Cutrc2"/>
    <w:rPr>
      <w:rFonts w:ascii=".VnTime" w:eastAsia="MS Mincho" w:hAnsi=".VnTime"/>
      <w:sz w:val="28"/>
    </w:rPr>
  </w:style>
  <w:style w:type="paragraph" w:customStyle="1" w:styleId="Cutrc3">
    <w:name w:val="CÊu tróc3"/>
    <w:basedOn w:val="Normal"/>
    <w:link w:val="Cutrc3Char"/>
    <w:pPr>
      <w:tabs>
        <w:tab w:val="left" w:pos="432"/>
      </w:tabs>
      <w:spacing w:before="240"/>
      <w:ind w:left="432" w:hanging="432"/>
      <w:jc w:val="both"/>
    </w:pPr>
    <w:rPr>
      <w:rFonts w:ascii=".VnTime" w:eastAsia="MS Mincho" w:hAnsi=".VnTime"/>
      <w:sz w:val="28"/>
      <w:szCs w:val="20"/>
      <w:lang w:val="pt-BR"/>
    </w:rPr>
  </w:style>
  <w:style w:type="character" w:customStyle="1" w:styleId="Cutrc3Char">
    <w:name w:val="CÊu tróc3 Char"/>
    <w:link w:val="Cutrc3"/>
    <w:rPr>
      <w:rFonts w:ascii=".VnTime" w:eastAsia="MS Mincho" w:hAnsi=".VnTime"/>
      <w:sz w:val="28"/>
      <w:lang w:val="pt-BR"/>
    </w:rPr>
  </w:style>
  <w:style w:type="paragraph" w:customStyle="1" w:styleId="MediumGrid1-Accent21">
    <w:name w:val="Medium Grid 1 - Accent 21"/>
    <w:basedOn w:val="Normal"/>
    <w:qFormat/>
    <w:pPr>
      <w:spacing w:after="200" w:line="276" w:lineRule="auto"/>
      <w:ind w:left="720"/>
      <w:contextualSpacing/>
    </w:pPr>
    <w:rPr>
      <w:sz w:val="28"/>
      <w:szCs w:val="28"/>
    </w:rPr>
  </w:style>
  <w:style w:type="character" w:styleId="Strong">
    <w:name w:val="Strong"/>
    <w:qFormat/>
    <w:rPr>
      <w:b/>
    </w:rPr>
  </w:style>
  <w:style w:type="paragraph" w:customStyle="1" w:styleId="ColorfulList-Accent12">
    <w:name w:val="Colorful List - Accent 12"/>
    <w:basedOn w:val="Normal"/>
    <w:qFormat/>
    <w:pPr>
      <w:spacing w:after="200" w:line="276" w:lineRule="auto"/>
      <w:ind w:left="720"/>
      <w:contextualSpacing/>
    </w:pPr>
    <w:rPr>
      <w:szCs w:val="22"/>
    </w:rPr>
  </w:style>
  <w:style w:type="paragraph" w:customStyle="1" w:styleId="ColorfulList-Accent14">
    <w:name w:val="Colorful List - Accent 14"/>
    <w:basedOn w:val="Normal"/>
    <w:qFormat/>
    <w:pPr>
      <w:ind w:left="720"/>
      <w:contextualSpacing/>
    </w:pPr>
    <w:rPr>
      <w:rFonts w:eastAsia="MS Mincho"/>
      <w:lang w:eastAsia="ja-JP"/>
    </w:rPr>
  </w:style>
  <w:style w:type="paragraph" w:styleId="TOCHeading">
    <w:name w:val="TOC Heading"/>
    <w:basedOn w:val="Heading1"/>
    <w:next w:val="Normal"/>
    <w:uiPriority w:val="39"/>
    <w:qFormat/>
    <w:pPr>
      <w:keepLines/>
      <w:spacing w:before="480" w:after="0" w:line="276" w:lineRule="auto"/>
      <w:outlineLvl w:val="9"/>
    </w:pPr>
    <w:rPr>
      <w:rFonts w:ascii="Cambria" w:eastAsia="SimSun" w:hAnsi="Cambria" w:cs="SimSun"/>
      <w:color w:val="365F91"/>
      <w:kern w:val="0"/>
      <w:sz w:val="28"/>
      <w:szCs w:val="28"/>
    </w:rPr>
  </w:style>
  <w:style w:type="paragraph" w:styleId="ListParagraph">
    <w:name w:val="List Paragraph"/>
    <w:basedOn w:val="Normal"/>
    <w:qFormat/>
    <w:pPr>
      <w:ind w:left="720"/>
      <w:contextualSpacing/>
    </w:pPr>
  </w:style>
  <w:style w:type="paragraph" w:customStyle="1" w:styleId="Hinh0">
    <w:name w:val="Hinh..."/>
    <w:basedOn w:val="BodyText"/>
    <w:qFormat/>
    <w:pPr>
      <w:tabs>
        <w:tab w:val="left" w:pos="720"/>
      </w:tabs>
      <w:spacing w:before="120" w:after="120" w:line="312" w:lineRule="auto"/>
      <w:jc w:val="right"/>
    </w:pPr>
    <w:rPr>
      <w:rFonts w:ascii="Times New Roman" w:hAnsi="Times New Roman" w:cs=".VnTime"/>
      <w:i/>
      <w:sz w:val="24"/>
      <w:szCs w:val="28"/>
    </w:rPr>
  </w:style>
  <w:style w:type="paragraph" w:styleId="CommentSubject">
    <w:name w:val="annotation subject"/>
    <w:basedOn w:val="CommentText"/>
    <w:next w:val="CommentText"/>
    <w:link w:val="CommentSubjectChar"/>
    <w:uiPriority w:val="99"/>
    <w:rPr>
      <w:rFonts w:ascii="Times New Roman" w:eastAsia="Times New Roman" w:hAnsi="Times New Roman"/>
      <w:b/>
      <w:bCs/>
    </w:rPr>
  </w:style>
  <w:style w:type="character" w:customStyle="1" w:styleId="CommentSubjectChar">
    <w:name w:val="Comment Subject Char"/>
    <w:basedOn w:val="CommentTextChar"/>
    <w:link w:val="CommentSubject"/>
    <w:uiPriority w:val="99"/>
    <w:rPr>
      <w:rFonts w:ascii="Times New Roman" w:eastAsia="Times New Roman" w:hAnsi="Times New Roman"/>
      <w:b/>
      <w:bCs/>
      <w:lang w:val="en-US" w:eastAsia="en-US" w:bidi="ar-SA"/>
    </w:rPr>
  </w:style>
  <w:style w:type="paragraph" w:customStyle="1" w:styleId="Body1">
    <w:name w:val="Body 1"/>
    <w:basedOn w:val="Normal"/>
    <w:pPr>
      <w:spacing w:before="120"/>
      <w:ind w:firstLine="720"/>
      <w:jc w:val="both"/>
    </w:pPr>
    <w:rPr>
      <w:sz w:val="28"/>
      <w:szCs w:val="28"/>
      <w:lang w:val="da-DK"/>
    </w:rPr>
  </w:style>
  <w:style w:type="paragraph" w:customStyle="1" w:styleId="TableParagraph">
    <w:name w:val="Table Paragraph"/>
    <w:basedOn w:val="Normal"/>
    <w:uiPriority w:val="1"/>
    <w:qFormat/>
    <w:pPr>
      <w:widowControl w:val="0"/>
      <w:spacing w:line="263" w:lineRule="exact"/>
    </w:pPr>
    <w:rPr>
      <w:sz w:val="22"/>
      <w:szCs w:val="22"/>
    </w:rPr>
  </w:style>
  <w:style w:type="character" w:customStyle="1" w:styleId="stats-count">
    <w:name w:val="stats-cou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rPr>
  </w:style>
  <w:style w:type="paragraph" w:styleId="Heading1">
    <w:name w:val="heading 1"/>
    <w:basedOn w:val="Normal"/>
    <w:next w:val="Normal"/>
    <w:link w:val="Heading1Char"/>
    <w:uiPriority w:val="99"/>
    <w:qFormat/>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pPr>
      <w:widowControl w:val="0"/>
      <w:tabs>
        <w:tab w:val="left" w:pos="154"/>
        <w:tab w:val="left" w:pos="1022"/>
      </w:tabs>
      <w:spacing w:after="120" w:line="336" w:lineRule="auto"/>
      <w:jc w:val="both"/>
      <w:outlineLvl w:val="1"/>
    </w:pPr>
    <w:rPr>
      <w:b/>
      <w:i/>
      <w:color w:val="000000"/>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keepNext/>
      <w:keepLines/>
      <w:spacing w:before="200" w:line="276" w:lineRule="auto"/>
      <w:ind w:left="1152" w:hanging="1152"/>
      <w:outlineLvl w:val="5"/>
    </w:pPr>
    <w:rPr>
      <w:rFonts w:ascii="Cambria" w:eastAsia="MS Mincho" w:hAnsi="Cambria"/>
      <w:i/>
      <w:iCs/>
      <w:color w:val="243F60"/>
      <w:sz w:val="26"/>
      <w:szCs w:val="26"/>
    </w:rPr>
  </w:style>
  <w:style w:type="paragraph" w:styleId="Heading7">
    <w:name w:val="heading 7"/>
    <w:basedOn w:val="Normal"/>
    <w:next w:val="Normal"/>
    <w:link w:val="Heading7Char"/>
    <w:uiPriority w:val="9"/>
    <w:qFormat/>
    <w:pPr>
      <w:keepNext/>
      <w:keepLines/>
      <w:spacing w:before="200" w:line="276" w:lineRule="auto"/>
      <w:ind w:left="1296" w:hanging="1296"/>
      <w:outlineLvl w:val="6"/>
    </w:pPr>
    <w:rPr>
      <w:rFonts w:ascii="Cambria" w:eastAsia="MS Mincho" w:hAnsi="Cambria"/>
      <w:i/>
      <w:iCs/>
      <w:color w:val="404040"/>
      <w:sz w:val="26"/>
      <w:szCs w:val="26"/>
    </w:rPr>
  </w:style>
  <w:style w:type="paragraph" w:styleId="Heading8">
    <w:name w:val="heading 8"/>
    <w:basedOn w:val="Normal"/>
    <w:next w:val="Normal"/>
    <w:link w:val="Heading8Char"/>
    <w:uiPriority w:val="9"/>
    <w:qFormat/>
    <w:pPr>
      <w:keepNext/>
      <w:keepLines/>
      <w:spacing w:before="200" w:line="276" w:lineRule="auto"/>
      <w:ind w:left="1440" w:hanging="1440"/>
      <w:outlineLvl w:val="7"/>
    </w:pPr>
    <w:rPr>
      <w:rFonts w:ascii="Cambria" w:eastAsia="MS Mincho" w:hAnsi="Cambria"/>
      <w:color w:val="404040"/>
      <w:sz w:val="20"/>
      <w:szCs w:val="20"/>
    </w:rPr>
  </w:style>
  <w:style w:type="paragraph" w:styleId="Heading9">
    <w:name w:val="heading 9"/>
    <w:basedOn w:val="Normal"/>
    <w:next w:val="Normal"/>
    <w:uiPriority w:val="9"/>
    <w:qFormat/>
    <w:pPr>
      <w:keepNext/>
      <w:keepLines/>
      <w:spacing w:before="200" w:line="276" w:lineRule="auto"/>
      <w:ind w:left="1584" w:hanging="1584"/>
      <w:outlineLvl w:val="8"/>
    </w:pPr>
    <w:rPr>
      <w:rFonts w:ascii="Cambria" w:eastAsia="MS Mincho"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cs="Arial"/>
      <w:b/>
      <w:bCs/>
      <w:kern w:val="32"/>
      <w:sz w:val="32"/>
      <w:szCs w:val="32"/>
    </w:rPr>
  </w:style>
  <w:style w:type="character" w:customStyle="1" w:styleId="Heading2Char">
    <w:name w:val="Heading 2 Char"/>
    <w:link w:val="Heading2"/>
    <w:uiPriority w:val="9"/>
    <w:rPr>
      <w:rFonts w:ascii="Times New Roman" w:eastAsia="Times New Roman" w:hAnsi="Times New Roman"/>
      <w:b/>
      <w:i/>
      <w:color w:val="000000"/>
      <w:sz w:val="28"/>
      <w:szCs w:val="28"/>
    </w:rPr>
  </w:style>
  <w:style w:type="character" w:customStyle="1" w:styleId="Heading3Char">
    <w:name w:val="Heading 3 Char"/>
    <w:link w:val="Heading3"/>
    <w:rPr>
      <w:rFonts w:ascii="Arial" w:eastAsia="Times New Roman" w:hAnsi="Arial" w:cs="Arial"/>
      <w:b/>
      <w:bCs/>
      <w:sz w:val="26"/>
      <w:szCs w:val="26"/>
    </w:rPr>
  </w:style>
  <w:style w:type="character" w:customStyle="1" w:styleId="Heading4Char">
    <w:name w:val="Heading 4 Char"/>
    <w:link w:val="Heading4"/>
    <w:rPr>
      <w:rFonts w:ascii="Times New Roman" w:eastAsia="Times New Roman" w:hAnsi="Times New Roman" w:cs="Times New Roman"/>
      <w:b/>
      <w:bCs/>
      <w:sz w:val="28"/>
      <w:szCs w:val="28"/>
    </w:rPr>
  </w:style>
  <w:style w:type="character" w:customStyle="1" w:styleId="Heading5Char">
    <w:name w:val="Heading 5 Char"/>
    <w:link w:val="Heading5"/>
    <w:rPr>
      <w:rFonts w:ascii="Times New Roman" w:eastAsia="Times New Roman" w:hAnsi="Times New Roman"/>
      <w:b/>
      <w:bCs/>
      <w:i/>
      <w:iCs/>
      <w:sz w:val="26"/>
      <w:szCs w:val="26"/>
    </w:rPr>
  </w:style>
  <w:style w:type="character" w:customStyle="1" w:styleId="Heading6Char">
    <w:name w:val="Heading 6 Char"/>
    <w:link w:val="Heading6"/>
    <w:rPr>
      <w:rFonts w:ascii="Cambria" w:eastAsia="MS Mincho" w:hAnsi="Cambria"/>
      <w:i/>
      <w:iCs/>
      <w:color w:val="243F60"/>
      <w:sz w:val="26"/>
      <w:szCs w:val="26"/>
      <w:lang w:val="en-US" w:eastAsia="en-US" w:bidi="ar-SA"/>
    </w:rPr>
  </w:style>
  <w:style w:type="character" w:customStyle="1" w:styleId="Heading7Char">
    <w:name w:val="Heading 7 Char"/>
    <w:link w:val="Heading7"/>
    <w:rPr>
      <w:rFonts w:ascii="Cambria" w:eastAsia="MS Mincho" w:hAnsi="Cambria"/>
      <w:i/>
      <w:iCs/>
      <w:color w:val="404040"/>
      <w:sz w:val="26"/>
      <w:szCs w:val="26"/>
      <w:lang w:val="en-US" w:eastAsia="en-US" w:bidi="ar-SA"/>
    </w:rPr>
  </w:style>
  <w:style w:type="character" w:customStyle="1" w:styleId="Heading8Char">
    <w:name w:val="Heading 8 Char"/>
    <w:link w:val="Heading8"/>
    <w:rPr>
      <w:rFonts w:ascii="Cambria" w:eastAsia="MS Mincho" w:hAnsi="Cambria"/>
      <w:color w:val="404040"/>
      <w:lang w:val="en-US" w:eastAsia="en-US" w:bidi="ar-SA"/>
    </w:rPr>
  </w:style>
  <w:style w:type="paragraph" w:styleId="FootnoteText">
    <w:name w:val="footnote text"/>
    <w:basedOn w:val="Normal"/>
    <w:link w:val="FootnoteTextChar"/>
    <w:rPr>
      <w:rFonts w:ascii=".VnTime" w:eastAsia="Calibri" w:hAnsi=".VnTime"/>
      <w:sz w:val="20"/>
      <w:szCs w:val="20"/>
      <w:lang w:val="en-AU" w:eastAsia="en-AU"/>
    </w:rPr>
  </w:style>
  <w:style w:type="character" w:customStyle="1" w:styleId="FootnoteTextChar">
    <w:name w:val="Footnote Text Char"/>
    <w:link w:val="FootnoteText"/>
    <w:rPr>
      <w:rFonts w:ascii=".VnTime" w:eastAsia="Calibri" w:hAnsi=".VnTime" w:cs="Times New Roman"/>
      <w:sz w:val="20"/>
      <w:szCs w:val="20"/>
      <w:lang w:val="en-AU" w:eastAsia="en-AU"/>
    </w:rPr>
  </w:style>
  <w:style w:type="character" w:styleId="FootnoteReference">
    <w:name w:val="footnote reference"/>
    <w:rPr>
      <w:rFonts w:cs="Times New Roman"/>
      <w:b/>
      <w:sz w:val="26"/>
      <w:szCs w:val="28"/>
      <w:vertAlign w:val="superscript"/>
      <w:lang w:val="pt-BR" w:eastAsia="en-US" w:bidi="ar-SA"/>
    </w:rPr>
  </w:style>
  <w:style w:type="paragraph" w:styleId="Caption">
    <w:name w:val="caption"/>
    <w:basedOn w:val="Normal"/>
    <w:next w:val="Normal"/>
    <w:link w:val="CaptionChar"/>
    <w:qFormat/>
    <w:pPr>
      <w:ind w:firstLine="720"/>
      <w:jc w:val="center"/>
    </w:pPr>
    <w:rPr>
      <w:b/>
      <w:bCs/>
      <w:sz w:val="20"/>
      <w:szCs w:val="20"/>
    </w:rPr>
  </w:style>
  <w:style w:type="character" w:customStyle="1" w:styleId="CaptionChar">
    <w:name w:val="Caption Char"/>
    <w:link w:val="Caption"/>
    <w:rPr>
      <w:rFonts w:ascii="Times New Roman" w:eastAsia="Times New Roman" w:hAnsi="Times New Roman" w:cs="Times New Roman"/>
      <w:b/>
      <w:bCs/>
      <w:sz w:val="20"/>
      <w:szCs w:val="20"/>
    </w:rPr>
  </w:style>
  <w:style w:type="paragraph" w:customStyle="1" w:styleId="ColorfulList-Accent13">
    <w:name w:val="Colorful List - Accent 13"/>
    <w:basedOn w:val="Normal"/>
    <w:qFormat/>
    <w:pPr>
      <w:spacing w:after="200" w:line="276" w:lineRule="auto"/>
      <w:ind w:left="720"/>
      <w:contextualSpacing/>
    </w:pPr>
    <w:rPr>
      <w:rFonts w:eastAsia="Calibri"/>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paragraph" w:styleId="BodyTextIndent2">
    <w:name w:val="Body Text Indent 2"/>
    <w:basedOn w:val="Normal"/>
    <w:link w:val="BodyTextIndent2Char"/>
    <w:pPr>
      <w:widowControl w:val="0"/>
      <w:autoSpaceDE w:val="0"/>
      <w:autoSpaceDN w:val="0"/>
      <w:adjustRightInd w:val="0"/>
      <w:ind w:left="360"/>
      <w:jc w:val="both"/>
    </w:pPr>
    <w:rPr>
      <w:rFonts w:ascii="VNI-Times" w:hAnsi="VNI-Times"/>
      <w:b/>
      <w:bCs/>
    </w:rPr>
  </w:style>
  <w:style w:type="character" w:customStyle="1" w:styleId="BodyTextIndent2Char">
    <w:name w:val="Body Text Indent 2 Char"/>
    <w:link w:val="BodyTextIndent2"/>
    <w:rPr>
      <w:rFonts w:ascii="VNI-Times" w:eastAsia="Times New Roman" w:hAnsi="VNI-Times" w:cs="VNI-Times"/>
      <w:b/>
      <w:bCs/>
      <w:sz w:val="24"/>
      <w:szCs w:val="24"/>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eastAsia="Times New Roman" w:hAnsi="Tahoma" w:cs="Tahoma"/>
      <w:sz w:val="16"/>
      <w:szCs w:val="16"/>
    </w:rPr>
  </w:style>
  <w:style w:type="paragraph" w:customStyle="1" w:styleId="GridTable31">
    <w:name w:val="Grid Table 31"/>
    <w:basedOn w:val="Heading1"/>
    <w:next w:val="Normal"/>
    <w:uiPriority w:val="39"/>
    <w:qFormat/>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uiPriority w:val="39"/>
    <w:qFormat/>
    <w:pPr>
      <w:tabs>
        <w:tab w:val="right" w:leader="dot" w:pos="8778"/>
      </w:tabs>
      <w:spacing w:after="100" w:line="276" w:lineRule="auto"/>
    </w:pPr>
    <w:rPr>
      <w:b/>
      <w:noProof/>
      <w:sz w:val="32"/>
      <w:szCs w:val="28"/>
      <w:lang w:val="vi-VN"/>
    </w:rPr>
  </w:style>
  <w:style w:type="paragraph" w:styleId="TOC2">
    <w:name w:val="toc 2"/>
    <w:basedOn w:val="Normal"/>
    <w:next w:val="Normal"/>
    <w:uiPriority w:val="39"/>
    <w:qFormat/>
    <w:pPr>
      <w:tabs>
        <w:tab w:val="right" w:leader="dot" w:pos="8760"/>
      </w:tabs>
      <w:spacing w:line="360" w:lineRule="auto"/>
      <w:ind w:left="720" w:right="268" w:hanging="720"/>
      <w:jc w:val="both"/>
    </w:pPr>
    <w:rPr>
      <w:b/>
      <w:noProof/>
      <w:spacing w:val="-4"/>
      <w:sz w:val="28"/>
      <w:szCs w:val="28"/>
    </w:rPr>
  </w:style>
  <w:style w:type="paragraph" w:styleId="TOC3">
    <w:name w:val="toc 3"/>
    <w:basedOn w:val="Normal"/>
    <w:next w:val="Normal"/>
    <w:uiPriority w:val="39"/>
    <w:qFormat/>
    <w:pPr>
      <w:spacing w:after="100"/>
      <w:ind w:left="480"/>
    </w:pPr>
  </w:style>
  <w:style w:type="character" w:styleId="Hyperlink">
    <w:name w:val="Hyperlink"/>
    <w:uiPriority w:val="99"/>
    <w:rPr>
      <w:color w:val="0000FF"/>
      <w:u w:val="single"/>
    </w:rPr>
  </w:style>
  <w:style w:type="paragraph" w:customStyle="1" w:styleId="MediumGrid22">
    <w:name w:val="Medium Grid 22"/>
    <w:uiPriority w:val="1"/>
    <w:qFormat/>
    <w:rPr>
      <w:sz w:val="22"/>
      <w:szCs w:val="22"/>
    </w:rPr>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paragraph" w:styleId="TableofFigures">
    <w:name w:val="table of figures"/>
    <w:basedOn w:val="Normal"/>
    <w:next w:val="Normal"/>
    <w:uiPriority w:val="99"/>
  </w:style>
  <w:style w:type="paragraph" w:styleId="NormalWeb">
    <w:name w:val="Normal (Web)"/>
    <w:basedOn w:val="Normal"/>
    <w:uiPriority w:val="99"/>
    <w:pPr>
      <w:spacing w:before="100" w:beforeAutospacing="1" w:after="100" w:afterAutospacing="1"/>
    </w:pPr>
    <w:rPr>
      <w:rFonts w:eastAsia="Calibri"/>
    </w:rPr>
  </w:style>
  <w:style w:type="character" w:customStyle="1" w:styleId="bodycontent1">
    <w:name w:val="bodycontent1"/>
    <w:rPr>
      <w:color w:val="333333"/>
      <w:sz w:val="20"/>
      <w:szCs w:val="2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rFonts w:ascii="Times New Roman" w:eastAsia="Times New Roman" w:hAnsi="Times New Roman" w:cs="Times New Roman"/>
      <w:sz w:val="24"/>
      <w:szCs w:val="24"/>
    </w:r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uiPriority w:val="39"/>
    <w:pPr>
      <w:ind w:left="720"/>
    </w:pPr>
  </w:style>
  <w:style w:type="paragraph" w:styleId="DocumentMap">
    <w:name w:val="Document Map"/>
    <w:basedOn w:val="Normal"/>
    <w:link w:val="DocumentMapChar"/>
    <w:uiPriority w:val="99"/>
    <w:rPr>
      <w:rFonts w:ascii="Tahoma" w:hAnsi="Tahoma"/>
      <w:sz w:val="16"/>
      <w:szCs w:val="16"/>
    </w:rPr>
  </w:style>
  <w:style w:type="character" w:customStyle="1" w:styleId="DocumentMapChar">
    <w:name w:val="Document Map Char"/>
    <w:link w:val="DocumentMap"/>
    <w:uiPriority w:val="99"/>
    <w:rPr>
      <w:rFonts w:ascii="Tahoma" w:eastAsia="Times New Roman" w:hAnsi="Tahoma" w:cs="Tahoma"/>
      <w:sz w:val="16"/>
      <w:szCs w:val="16"/>
    </w:rPr>
  </w:style>
  <w:style w:type="paragraph" w:styleId="TOC5">
    <w:name w:val="toc 5"/>
    <w:basedOn w:val="Normal"/>
    <w:next w:val="Normal"/>
    <w:uiPriority w:val="39"/>
    <w:pPr>
      <w:spacing w:after="100" w:line="276" w:lineRule="auto"/>
      <w:ind w:left="880"/>
    </w:pPr>
    <w:rPr>
      <w:rFonts w:ascii="Calibri" w:hAnsi="Calibri"/>
      <w:sz w:val="22"/>
      <w:szCs w:val="22"/>
    </w:rPr>
  </w:style>
  <w:style w:type="paragraph" w:styleId="TOC6">
    <w:name w:val="toc 6"/>
    <w:basedOn w:val="Normal"/>
    <w:next w:val="Normal"/>
    <w:uiPriority w:val="39"/>
    <w:pPr>
      <w:spacing w:after="100" w:line="276" w:lineRule="auto"/>
      <w:ind w:left="1100"/>
    </w:pPr>
    <w:rPr>
      <w:rFonts w:ascii="Calibri" w:hAnsi="Calibri"/>
      <w:sz w:val="22"/>
      <w:szCs w:val="22"/>
    </w:rPr>
  </w:style>
  <w:style w:type="paragraph" w:styleId="TOC7">
    <w:name w:val="toc 7"/>
    <w:basedOn w:val="Normal"/>
    <w:next w:val="Normal"/>
    <w:uiPriority w:val="39"/>
    <w:pPr>
      <w:spacing w:after="100" w:line="276" w:lineRule="auto"/>
      <w:ind w:left="1320"/>
    </w:pPr>
    <w:rPr>
      <w:rFonts w:ascii="Calibri" w:hAnsi="Calibri"/>
      <w:sz w:val="22"/>
      <w:szCs w:val="22"/>
    </w:rPr>
  </w:style>
  <w:style w:type="paragraph" w:styleId="TOC8">
    <w:name w:val="toc 8"/>
    <w:basedOn w:val="Normal"/>
    <w:next w:val="Normal"/>
    <w:uiPriority w:val="39"/>
    <w:pPr>
      <w:spacing w:after="100" w:line="276" w:lineRule="auto"/>
      <w:ind w:left="1540"/>
    </w:pPr>
    <w:rPr>
      <w:rFonts w:ascii="Calibri" w:hAnsi="Calibri"/>
      <w:sz w:val="22"/>
      <w:szCs w:val="22"/>
    </w:rPr>
  </w:style>
  <w:style w:type="paragraph" w:styleId="TOC9">
    <w:name w:val="toc 9"/>
    <w:basedOn w:val="Normal"/>
    <w:next w:val="Normal"/>
    <w:uiPriority w:val="39"/>
    <w:pPr>
      <w:spacing w:after="100" w:line="276" w:lineRule="auto"/>
      <w:ind w:left="1760"/>
    </w:pPr>
    <w:rPr>
      <w:rFonts w:ascii="Calibri" w:hAnsi="Calibri"/>
      <w:sz w:val="22"/>
      <w:szCs w:val="22"/>
    </w:rPr>
  </w:style>
  <w:style w:type="paragraph" w:customStyle="1" w:styleId="CharCharCharChar">
    <w:name w:val="Char Char Char Char"/>
    <w:basedOn w:val="Normal"/>
    <w:pPr>
      <w:spacing w:before="100" w:beforeAutospacing="1" w:after="100" w:afterAutospacing="1"/>
    </w:pPr>
    <w:rPr>
      <w:rFonts w:ascii="Tahoma" w:hAnsi="Tahoma"/>
      <w:sz w:val="20"/>
      <w:szCs w:val="20"/>
    </w:rPr>
  </w:style>
  <w:style w:type="paragraph" w:styleId="NormalIndent">
    <w:name w:val="Normal Indent"/>
    <w:basedOn w:val="Normal"/>
    <w:pPr>
      <w:ind w:left="720"/>
    </w:pPr>
  </w:style>
  <w:style w:type="character" w:customStyle="1" w:styleId="Heading3Char20df6c75-8300-468f-bbca-002543cc4bdb">
    <w:name w:val="Heading 3 Char_20df6c75-8300-468f-bbca-002543cc4bdb"/>
    <w:rPr>
      <w:rFonts w:ascii="Arial" w:hAnsi="Arial"/>
      <w:b/>
      <w:sz w:val="26"/>
    </w:rPr>
  </w:style>
  <w:style w:type="character" w:customStyle="1" w:styleId="Heading2Charb99006b6-a45a-4a81-9bc1-9bef642b3053">
    <w:name w:val="Heading 2 Char_b99006b6-a45a-4a81-9bc1-9bef642b3053"/>
    <w:rPr>
      <w:rFonts w:ascii="Times New Roman" w:hAnsi="Times New Roman"/>
      <w:b/>
      <w:sz w:val="24"/>
    </w:rPr>
  </w:style>
  <w:style w:type="character" w:styleId="CommentReference">
    <w:name w:val="annotation reference"/>
    <w:rPr>
      <w:sz w:val="16"/>
    </w:rPr>
  </w:style>
  <w:style w:type="paragraph" w:styleId="CommentText">
    <w:name w:val="annotation text"/>
    <w:basedOn w:val="Normal"/>
    <w:link w:val="CommentTextChar"/>
    <w:rPr>
      <w:rFonts w:ascii="Calibri" w:eastAsia="Calibri" w:hAnsi="Calibri"/>
      <w:sz w:val="20"/>
      <w:szCs w:val="20"/>
    </w:rPr>
  </w:style>
  <w:style w:type="character" w:customStyle="1" w:styleId="CommentTextChar">
    <w:name w:val="Comment Text Char"/>
    <w:link w:val="CommentText"/>
    <w:rPr>
      <w:rFonts w:eastAsia="Calibri"/>
      <w:lang w:val="en-US" w:eastAsia="en-US" w:bidi="ar-SA"/>
    </w:rPr>
  </w:style>
  <w:style w:type="character" w:customStyle="1" w:styleId="Heading1Chare7d8cb14-596a-4cb7-afe7-2f0b92dee78c">
    <w:name w:val="Heading 1 Char_e7d8cb14-596a-4cb7-afe7-2f0b92dee78c"/>
    <w:rPr>
      <w:rFonts w:ascii="Arial" w:hAnsi="Arial"/>
      <w:b/>
      <w:kern w:val="32"/>
      <w:sz w:val="32"/>
    </w:rPr>
  </w:style>
  <w:style w:type="paragraph" w:customStyle="1" w:styleId="MediumGrid21">
    <w:name w:val="Medium Grid 21"/>
    <w:link w:val="MediumGrid2Char"/>
    <w:uiPriority w:val="1"/>
    <w:qFormat/>
    <w:rPr>
      <w:rFonts w:ascii="Arial" w:eastAsia="Times New Roman" w:hAnsi="Arial"/>
      <w:sz w:val="22"/>
      <w:szCs w:val="22"/>
    </w:rPr>
  </w:style>
  <w:style w:type="character" w:customStyle="1" w:styleId="MediumGrid2Char">
    <w:name w:val="Medium Grid 2 Char"/>
    <w:link w:val="MediumGrid21"/>
    <w:uiPriority w:val="1"/>
    <w:rPr>
      <w:rFonts w:ascii="Arial" w:eastAsia="Times New Roman" w:hAnsi="Arial"/>
      <w:sz w:val="22"/>
      <w:szCs w:val="22"/>
      <w:lang w:bidi="ar-SA"/>
    </w:rPr>
  </w:style>
  <w:style w:type="character" w:customStyle="1" w:styleId="st">
    <w:name w:val="st"/>
    <w:rPr>
      <w:rFonts w:cs="Times New Roman"/>
    </w:rPr>
  </w:style>
  <w:style w:type="paragraph" w:customStyle="1" w:styleId="ColorfulList-Accent11">
    <w:name w:val="Colorful List - Accent 11"/>
    <w:basedOn w:val="Normal"/>
    <w:link w:val="ColorfulList-Accent1Char1"/>
    <w:qFormat/>
    <w:pPr>
      <w:spacing w:after="200" w:line="276" w:lineRule="auto"/>
      <w:ind w:left="720"/>
      <w:contextualSpacing/>
    </w:pPr>
    <w:rPr>
      <w:rFonts w:eastAsia="Calibri"/>
      <w:sz w:val="28"/>
      <w:szCs w:val="28"/>
    </w:rPr>
  </w:style>
  <w:style w:type="character" w:customStyle="1" w:styleId="ColorfulList-Accent1Char1">
    <w:name w:val="Colorful List - Accent 1 Char1"/>
    <w:link w:val="ColorfulList-Accent11"/>
    <w:rPr>
      <w:rFonts w:ascii="Times New Roman" w:hAnsi="Times New Roman"/>
      <w:sz w:val="28"/>
      <w:szCs w:val="28"/>
    </w:rPr>
  </w:style>
  <w:style w:type="character" w:customStyle="1" w:styleId="CharChar19">
    <w:name w:val="Char Char19"/>
    <w:rPr>
      <w:rFonts w:ascii="Arial" w:hAnsi="Arial"/>
      <w:b/>
      <w:kern w:val="32"/>
      <w:sz w:val="32"/>
      <w:lang w:eastAsia="ja-JP"/>
    </w:rPr>
  </w:style>
  <w:style w:type="character" w:customStyle="1" w:styleId="CharChar18">
    <w:name w:val="Char Char18"/>
    <w:rPr>
      <w:rFonts w:ascii="Arial" w:hAnsi="Arial"/>
      <w:b/>
      <w:i/>
      <w:sz w:val="28"/>
      <w:lang w:eastAsia="ja-JP"/>
    </w:rPr>
  </w:style>
  <w:style w:type="character" w:customStyle="1" w:styleId="CharChar17">
    <w:name w:val="Char Char17"/>
    <w:rPr>
      <w:rFonts w:ascii=".VnTime" w:hAnsi=".VnTime"/>
      <w:b/>
      <w:color w:val="0000FF"/>
      <w:sz w:val="26"/>
    </w:rPr>
  </w:style>
  <w:style w:type="character" w:customStyle="1" w:styleId="CharChar16">
    <w:name w:val="Char Char16"/>
    <w:rPr>
      <w:b/>
      <w:sz w:val="28"/>
      <w:lang w:eastAsia="ja-JP"/>
    </w:rPr>
  </w:style>
  <w:style w:type="character" w:customStyle="1" w:styleId="CharChar15">
    <w:name w:val="Char Char15"/>
    <w:rPr>
      <w:rFonts w:ascii="Cambria" w:hAnsi="Cambria"/>
      <w:color w:val="243F60"/>
      <w:sz w:val="26"/>
    </w:rPr>
  </w:style>
  <w:style w:type="paragraph" w:customStyle="1" w:styleId="CharCharChar">
    <w:name w:val="Char Char Char"/>
    <w:basedOn w:val="Normal"/>
    <w:pPr>
      <w:tabs>
        <w:tab w:val="left" w:pos="709"/>
      </w:tabs>
    </w:pPr>
    <w:rPr>
      <w:rFonts w:ascii="Tahoma" w:eastAsia="MS Mincho" w:hAnsi="Tahoma"/>
      <w:lang w:val="pl-PL" w:eastAsia="pl-PL"/>
    </w:rPr>
  </w:style>
  <w:style w:type="paragraph" w:customStyle="1" w:styleId="TNN-Bullet2">
    <w:name w:val="TNN-Bullet2"/>
    <w:basedOn w:val="Normal"/>
    <w:link w:val="TNN-Bullet2CharChar"/>
    <w:pPr>
      <w:spacing w:before="120" w:after="120" w:line="312" w:lineRule="auto"/>
      <w:ind w:firstLine="680"/>
      <w:jc w:val="both"/>
    </w:pPr>
    <w:rPr>
      <w:rFonts w:ascii="Calibri" w:eastAsia="MS Mincho" w:hAnsi="Calibri"/>
      <w:color w:val="000000"/>
      <w:sz w:val="28"/>
      <w:szCs w:val="20"/>
      <w:lang w:val="vi-VN"/>
    </w:rPr>
  </w:style>
  <w:style w:type="character" w:customStyle="1" w:styleId="TNN-Bullet2CharChar">
    <w:name w:val="TNN-Bullet2 Char Char"/>
    <w:link w:val="TNN-Bullet2"/>
    <w:rPr>
      <w:rFonts w:eastAsia="MS Mincho"/>
      <w:color w:val="000000"/>
      <w:sz w:val="28"/>
      <w:lang w:val="vi-VN" w:eastAsia="en-US" w:bidi="ar-SA"/>
    </w:rPr>
  </w:style>
  <w:style w:type="paragraph" w:customStyle="1" w:styleId="CharCharCharChar0">
    <w:name w:val="Char Char Char Char"/>
    <w:basedOn w:val="Normal"/>
    <w:pPr>
      <w:spacing w:before="100" w:beforeAutospacing="1" w:after="100" w:afterAutospacing="1"/>
    </w:pPr>
    <w:rPr>
      <w:rFonts w:ascii="Tahoma" w:eastAsia="MS Mincho" w:hAnsi="Tahoma"/>
      <w:sz w:val="20"/>
      <w:szCs w:val="20"/>
    </w:rPr>
  </w:style>
  <w:style w:type="paragraph" w:styleId="BodyText">
    <w:name w:val="Body Text"/>
    <w:basedOn w:val="Normal"/>
    <w:pPr>
      <w:jc w:val="both"/>
    </w:pPr>
    <w:rPr>
      <w:rFonts w:ascii=".VnTime" w:hAnsi=".VnTime"/>
      <w:sz w:val="28"/>
      <w:szCs w:val="20"/>
    </w:rPr>
  </w:style>
  <w:style w:type="character" w:customStyle="1" w:styleId="CharChar6">
    <w:name w:val="Char Char6"/>
    <w:rPr>
      <w:rFonts w:ascii="Cambria" w:hAnsi="Cambria"/>
      <w:b/>
      <w:color w:val="4F81BD"/>
    </w:rPr>
  </w:style>
  <w:style w:type="character" w:customStyle="1" w:styleId="CharChar2">
    <w:name w:val="Char Char2"/>
    <w:rPr>
      <w:rFonts w:ascii="VNI-Times" w:hAnsi="VNI-Times"/>
      <w:b/>
      <w:sz w:val="24"/>
    </w:rPr>
  </w:style>
  <w:style w:type="paragraph" w:customStyle="1" w:styleId="DefaultParagraphFontChar">
    <w:name w:val="Default Paragraph Font Char"/>
    <w:basedOn w:val="Normal"/>
    <w:pPr>
      <w:spacing w:before="100" w:beforeAutospacing="1" w:after="100" w:afterAutospacing="1" w:line="360" w:lineRule="exact"/>
      <w:ind w:firstLine="720"/>
      <w:jc w:val="both"/>
    </w:pPr>
    <w:rPr>
      <w:rFonts w:ascii="Arial" w:eastAsia="MS Mincho" w:hAnsi="Arial" w:cs="Arial"/>
      <w:sz w:val="22"/>
      <w:szCs w:val="22"/>
    </w:rPr>
  </w:style>
  <w:style w:type="paragraph" w:customStyle="1" w:styleId="bngbiu">
    <w:name w:val="bảng biểu"/>
    <w:basedOn w:val="TableofFigures"/>
    <w:next w:val="TableofFigures"/>
    <w:link w:val="bngbiuChar"/>
    <w:qFormat/>
    <w:pPr>
      <w:spacing w:before="60" w:after="60"/>
    </w:pPr>
    <w:rPr>
      <w:rFonts w:ascii="Calibri" w:eastAsia="Calibri" w:hAnsi="Calibri"/>
      <w:b/>
      <w:sz w:val="26"/>
      <w:szCs w:val="20"/>
    </w:rPr>
  </w:style>
  <w:style w:type="character" w:customStyle="1" w:styleId="bngbiuChar">
    <w:name w:val="bảng biểu Char"/>
    <w:link w:val="bngbiu"/>
    <w:rPr>
      <w:b/>
      <w:sz w:val="26"/>
      <w:lang w:val="en-US" w:eastAsia="en-US" w:bidi="ar-SA"/>
    </w:rPr>
  </w:style>
  <w:style w:type="paragraph" w:customStyle="1" w:styleId="a">
    <w:name w:val="a"/>
    <w:basedOn w:val="Normal"/>
    <w:link w:val="aChar"/>
    <w:pPr>
      <w:spacing w:line="288" w:lineRule="auto"/>
      <w:ind w:firstLine="720"/>
      <w:jc w:val="both"/>
    </w:pPr>
    <w:rPr>
      <w:rFonts w:ascii="Calibri" w:eastAsia="Calibri" w:hAnsi="Calibri"/>
      <w:sz w:val="28"/>
      <w:szCs w:val="20"/>
      <w:lang w:val="vi-VN"/>
    </w:rPr>
  </w:style>
  <w:style w:type="character" w:customStyle="1" w:styleId="aChar">
    <w:name w:val="a Char"/>
    <w:link w:val="a"/>
    <w:rPr>
      <w:sz w:val="28"/>
      <w:lang w:val="vi-VN" w:eastAsia="en-US" w:bidi="ar-SA"/>
    </w:rPr>
  </w:style>
  <w:style w:type="paragraph" w:customStyle="1" w:styleId="TOCHeading1">
    <w:name w:val="TOC Heading1"/>
    <w:basedOn w:val="Heading1"/>
    <w:next w:val="Normal"/>
    <w:uiPriority w:val="39"/>
    <w:qFormat/>
    <w:pPr>
      <w:keepLines/>
      <w:spacing w:before="480" w:after="0" w:line="276" w:lineRule="auto"/>
      <w:outlineLvl w:val="9"/>
    </w:pPr>
    <w:rPr>
      <w:rFonts w:ascii="Cambria" w:eastAsia="MS Mincho" w:hAnsi="Cambria"/>
      <w:color w:val="365F91"/>
      <w:kern w:val="0"/>
      <w:sz w:val="28"/>
      <w:szCs w:val="28"/>
    </w:rPr>
  </w:style>
  <w:style w:type="paragraph" w:customStyle="1" w:styleId="Q3">
    <w:name w:val="Q3"/>
    <w:basedOn w:val="Normal"/>
    <w:pPr>
      <w:tabs>
        <w:tab w:val="left" w:pos="170"/>
      </w:tabs>
      <w:spacing w:before="120" w:line="240" w:lineRule="atLeast"/>
      <w:jc w:val="both"/>
    </w:pPr>
    <w:rPr>
      <w:rFonts w:eastAsia="MS Mincho"/>
      <w:bCs/>
      <w:iCs/>
      <w:color w:val="000000"/>
      <w:sz w:val="26"/>
      <w:szCs w:val="26"/>
    </w:rPr>
  </w:style>
  <w:style w:type="paragraph" w:customStyle="1" w:styleId="Q2">
    <w:name w:val="Q2"/>
    <w:basedOn w:val="Normal"/>
    <w:pPr>
      <w:spacing w:before="240" w:after="120" w:line="240" w:lineRule="atLeast"/>
      <w:jc w:val="both"/>
    </w:pPr>
    <w:rPr>
      <w:rFonts w:eastAsia="MS Mincho"/>
      <w:b/>
      <w:bCs/>
      <w:sz w:val="26"/>
      <w:szCs w:val="26"/>
      <w:lang w:val="de-DE"/>
    </w:rPr>
  </w:style>
  <w:style w:type="paragraph" w:customStyle="1" w:styleId="tm">
    <w:name w:val="tm"/>
    <w:basedOn w:val="Normal"/>
    <w:pPr>
      <w:spacing w:before="120" w:line="336" w:lineRule="auto"/>
      <w:ind w:firstLine="567"/>
      <w:jc w:val="both"/>
    </w:pPr>
    <w:rPr>
      <w:rFonts w:eastAsia="MS Mincho"/>
      <w:sz w:val="26"/>
      <w:szCs w:val="26"/>
    </w:rPr>
  </w:style>
  <w:style w:type="paragraph" w:customStyle="1" w:styleId="Bang">
    <w:name w:val="Bang"/>
    <w:basedOn w:val="Normal"/>
    <w:link w:val="BangChar"/>
    <w:qFormat/>
    <w:pPr>
      <w:spacing w:before="120" w:after="120"/>
      <w:jc w:val="center"/>
    </w:pPr>
    <w:rPr>
      <w:rFonts w:ascii="Calibri" w:eastAsia="Calibri" w:hAnsi="Calibri"/>
      <w:i/>
      <w:sz w:val="26"/>
      <w:szCs w:val="20"/>
    </w:rPr>
  </w:style>
  <w:style w:type="character" w:customStyle="1" w:styleId="BangChar">
    <w:name w:val="Bang Char"/>
    <w:link w:val="Bang"/>
    <w:rPr>
      <w:i/>
      <w:sz w:val="26"/>
      <w:lang w:bidi="ar-SA"/>
    </w:rPr>
  </w:style>
  <w:style w:type="paragraph" w:styleId="BodyTextIndent3">
    <w:name w:val="Body Text Indent 3"/>
    <w:basedOn w:val="Normal"/>
    <w:pPr>
      <w:spacing w:after="120" w:line="276" w:lineRule="auto"/>
      <w:ind w:left="360"/>
    </w:pPr>
    <w:rPr>
      <w:rFonts w:ascii="Calibri" w:hAnsi="Calibri"/>
      <w:sz w:val="16"/>
      <w:szCs w:val="16"/>
    </w:rPr>
  </w:style>
  <w:style w:type="paragraph" w:customStyle="1" w:styleId="body">
    <w:name w:val="body"/>
    <w:basedOn w:val="BodyText2"/>
    <w:link w:val="bodyChar"/>
    <w:pPr>
      <w:widowControl w:val="0"/>
      <w:spacing w:before="40" w:after="60" w:line="240" w:lineRule="auto"/>
      <w:jc w:val="center"/>
    </w:pPr>
    <w:rPr>
      <w:rFonts w:ascii="Calibri" w:eastAsia="Calibri" w:hAnsi="Calibri"/>
      <w:b/>
      <w:spacing w:val="4"/>
      <w:sz w:val="26"/>
      <w:szCs w:val="20"/>
    </w:rPr>
  </w:style>
  <w:style w:type="paragraph" w:styleId="BodyText2">
    <w:name w:val="Body Text 2"/>
    <w:basedOn w:val="Normal"/>
    <w:pPr>
      <w:spacing w:after="120" w:line="480" w:lineRule="auto"/>
    </w:pPr>
    <w:rPr>
      <w:rFonts w:eastAsia="MS Mincho"/>
      <w:lang w:eastAsia="ja-JP"/>
    </w:rPr>
  </w:style>
  <w:style w:type="character" w:customStyle="1" w:styleId="bodyChar">
    <w:name w:val="body Char"/>
    <w:link w:val="body"/>
    <w:rPr>
      <w:b/>
      <w:spacing w:val="4"/>
      <w:sz w:val="26"/>
      <w:lang w:bidi="ar-SA"/>
    </w:rPr>
  </w:style>
  <w:style w:type="paragraph" w:customStyle="1" w:styleId="Hinh">
    <w:name w:val="Hinh."/>
    <w:basedOn w:val="BodyText"/>
    <w:qFormat/>
    <w:pPr>
      <w:tabs>
        <w:tab w:val="left" w:pos="720"/>
      </w:tabs>
      <w:jc w:val="center"/>
    </w:pPr>
    <w:rPr>
      <w:rFonts w:ascii="Arial" w:eastAsia="MS Mincho" w:hAnsi="Arial" w:cs=".VnTime"/>
      <w:i/>
      <w:sz w:val="24"/>
      <w:szCs w:val="28"/>
    </w:rPr>
  </w:style>
  <w:style w:type="paragraph" w:customStyle="1" w:styleId="1">
    <w:name w:val="1"/>
    <w:basedOn w:val="Normal"/>
    <w:qFormat/>
    <w:pPr>
      <w:spacing w:after="200" w:line="276" w:lineRule="auto"/>
      <w:jc w:val="both"/>
    </w:pPr>
    <w:rPr>
      <w:b/>
      <w:sz w:val="26"/>
      <w:szCs w:val="26"/>
    </w:rPr>
  </w:style>
  <w:style w:type="paragraph" w:customStyle="1" w:styleId="11">
    <w:name w:val="1.1"/>
    <w:basedOn w:val="Normal"/>
    <w:qFormat/>
    <w:pPr>
      <w:spacing w:after="200" w:line="276" w:lineRule="auto"/>
      <w:jc w:val="both"/>
    </w:pPr>
    <w:rPr>
      <w:i/>
      <w:sz w:val="26"/>
      <w:szCs w:val="26"/>
    </w:rPr>
  </w:style>
  <w:style w:type="character" w:styleId="Emphasis">
    <w:name w:val="Emphasis"/>
    <w:qFormat/>
    <w:rPr>
      <w:i/>
    </w:rPr>
  </w:style>
  <w:style w:type="paragraph" w:customStyle="1" w:styleId="NoSpacing1">
    <w:name w:val="No Spacing1"/>
    <w:link w:val="NoSpacingChar"/>
    <w:qFormat/>
    <w:rPr>
      <w:rFonts w:ascii="Arial" w:eastAsia="MS Mincho" w:hAnsi="Arial"/>
      <w:sz w:val="22"/>
    </w:rPr>
  </w:style>
  <w:style w:type="character" w:customStyle="1" w:styleId="NoSpacingChar">
    <w:name w:val="No Spacing Char"/>
    <w:link w:val="NoSpacing1"/>
    <w:rPr>
      <w:rFonts w:ascii="Arial" w:eastAsia="MS Mincho" w:hAnsi="Arial"/>
      <w:sz w:val="22"/>
      <w:lang w:bidi="ar-SA"/>
    </w:rPr>
  </w:style>
  <w:style w:type="character" w:customStyle="1" w:styleId="ColorfulList-Accent1Char">
    <w:name w:val="Colorful List - Accent 1 Char"/>
    <w:link w:val="MediumList2-Accent4"/>
    <w:rPr>
      <w:rFonts w:ascii="Times New Roman" w:hAnsi="Times New Roman"/>
      <w:sz w:val="26"/>
    </w:rPr>
  </w:style>
  <w:style w:type="table" w:styleId="MediumList2-Accent4">
    <w:name w:val="Medium List 2 Accent 4"/>
    <w:basedOn w:val="TableNormal"/>
    <w:link w:val="ColorfulList-Accent1Char"/>
    <w:rPr>
      <w:rFonts w:ascii="Times New Roman" w:hAnsi="Times New Roman"/>
      <w:sz w:val="26"/>
    </w:rPr>
    <w:tblPr>
      <w:tblStyleRowBandSize w:val="1"/>
      <w:tblStyleColBandSize w:val="1"/>
      <w:tblInd w:w="0" w:type="dxa"/>
      <w:shd w:val="clear" w:color="auto" w:fill="EDF2F8"/>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utrc2">
    <w:name w:val="CÊu tróc2"/>
    <w:basedOn w:val="Normal"/>
    <w:link w:val="Cutrc2Char"/>
    <w:pPr>
      <w:tabs>
        <w:tab w:val="left" w:pos="756"/>
      </w:tabs>
      <w:spacing w:before="160"/>
      <w:ind w:left="756" w:hanging="576"/>
      <w:jc w:val="both"/>
    </w:pPr>
    <w:rPr>
      <w:rFonts w:ascii=".VnTime" w:eastAsia="MS Mincho" w:hAnsi=".VnTime"/>
      <w:sz w:val="28"/>
      <w:szCs w:val="20"/>
    </w:rPr>
  </w:style>
  <w:style w:type="character" w:customStyle="1" w:styleId="Cutrc2Char">
    <w:name w:val="CÊu tróc2 Char"/>
    <w:link w:val="Cutrc2"/>
    <w:rPr>
      <w:rFonts w:ascii=".VnTime" w:eastAsia="MS Mincho" w:hAnsi=".VnTime"/>
      <w:sz w:val="28"/>
    </w:rPr>
  </w:style>
  <w:style w:type="paragraph" w:customStyle="1" w:styleId="Cutrc3">
    <w:name w:val="CÊu tróc3"/>
    <w:basedOn w:val="Normal"/>
    <w:link w:val="Cutrc3Char"/>
    <w:pPr>
      <w:tabs>
        <w:tab w:val="left" w:pos="432"/>
      </w:tabs>
      <w:spacing w:before="240"/>
      <w:ind w:left="432" w:hanging="432"/>
      <w:jc w:val="both"/>
    </w:pPr>
    <w:rPr>
      <w:rFonts w:ascii=".VnTime" w:eastAsia="MS Mincho" w:hAnsi=".VnTime"/>
      <w:sz w:val="28"/>
      <w:szCs w:val="20"/>
      <w:lang w:val="pt-BR"/>
    </w:rPr>
  </w:style>
  <w:style w:type="character" w:customStyle="1" w:styleId="Cutrc3Char">
    <w:name w:val="CÊu tróc3 Char"/>
    <w:link w:val="Cutrc3"/>
    <w:rPr>
      <w:rFonts w:ascii=".VnTime" w:eastAsia="MS Mincho" w:hAnsi=".VnTime"/>
      <w:sz w:val="28"/>
      <w:lang w:val="pt-BR"/>
    </w:rPr>
  </w:style>
  <w:style w:type="paragraph" w:customStyle="1" w:styleId="MediumGrid1-Accent21">
    <w:name w:val="Medium Grid 1 - Accent 21"/>
    <w:basedOn w:val="Normal"/>
    <w:qFormat/>
    <w:pPr>
      <w:spacing w:after="200" w:line="276" w:lineRule="auto"/>
      <w:ind w:left="720"/>
      <w:contextualSpacing/>
    </w:pPr>
    <w:rPr>
      <w:sz w:val="28"/>
      <w:szCs w:val="28"/>
    </w:rPr>
  </w:style>
  <w:style w:type="character" w:styleId="Strong">
    <w:name w:val="Strong"/>
    <w:qFormat/>
    <w:rPr>
      <w:b/>
    </w:rPr>
  </w:style>
  <w:style w:type="paragraph" w:customStyle="1" w:styleId="ColorfulList-Accent12">
    <w:name w:val="Colorful List - Accent 12"/>
    <w:basedOn w:val="Normal"/>
    <w:qFormat/>
    <w:pPr>
      <w:spacing w:after="200" w:line="276" w:lineRule="auto"/>
      <w:ind w:left="720"/>
      <w:contextualSpacing/>
    </w:pPr>
    <w:rPr>
      <w:szCs w:val="22"/>
    </w:rPr>
  </w:style>
  <w:style w:type="paragraph" w:customStyle="1" w:styleId="ColorfulList-Accent14">
    <w:name w:val="Colorful List - Accent 14"/>
    <w:basedOn w:val="Normal"/>
    <w:qFormat/>
    <w:pPr>
      <w:ind w:left="720"/>
      <w:contextualSpacing/>
    </w:pPr>
    <w:rPr>
      <w:rFonts w:eastAsia="MS Mincho"/>
      <w:lang w:eastAsia="ja-JP"/>
    </w:rPr>
  </w:style>
  <w:style w:type="paragraph" w:styleId="TOCHeading">
    <w:name w:val="TOC Heading"/>
    <w:basedOn w:val="Heading1"/>
    <w:next w:val="Normal"/>
    <w:uiPriority w:val="39"/>
    <w:qFormat/>
    <w:pPr>
      <w:keepLines/>
      <w:spacing w:before="480" w:after="0" w:line="276" w:lineRule="auto"/>
      <w:outlineLvl w:val="9"/>
    </w:pPr>
    <w:rPr>
      <w:rFonts w:ascii="Cambria" w:eastAsia="SimSun" w:hAnsi="Cambria" w:cs="SimSun"/>
      <w:color w:val="365F91"/>
      <w:kern w:val="0"/>
      <w:sz w:val="28"/>
      <w:szCs w:val="28"/>
    </w:rPr>
  </w:style>
  <w:style w:type="paragraph" w:styleId="ListParagraph">
    <w:name w:val="List Paragraph"/>
    <w:basedOn w:val="Normal"/>
    <w:qFormat/>
    <w:pPr>
      <w:ind w:left="720"/>
      <w:contextualSpacing/>
    </w:pPr>
  </w:style>
  <w:style w:type="paragraph" w:customStyle="1" w:styleId="Hinh0">
    <w:name w:val="Hinh..."/>
    <w:basedOn w:val="BodyText"/>
    <w:qFormat/>
    <w:pPr>
      <w:tabs>
        <w:tab w:val="left" w:pos="720"/>
      </w:tabs>
      <w:spacing w:before="120" w:after="120" w:line="312" w:lineRule="auto"/>
      <w:jc w:val="right"/>
    </w:pPr>
    <w:rPr>
      <w:rFonts w:ascii="Times New Roman" w:hAnsi="Times New Roman" w:cs=".VnTime"/>
      <w:i/>
      <w:sz w:val="24"/>
      <w:szCs w:val="28"/>
    </w:rPr>
  </w:style>
  <w:style w:type="paragraph" w:styleId="CommentSubject">
    <w:name w:val="annotation subject"/>
    <w:basedOn w:val="CommentText"/>
    <w:next w:val="CommentText"/>
    <w:link w:val="CommentSubjectChar"/>
    <w:uiPriority w:val="99"/>
    <w:rPr>
      <w:rFonts w:ascii="Times New Roman" w:eastAsia="Times New Roman" w:hAnsi="Times New Roman"/>
      <w:b/>
      <w:bCs/>
    </w:rPr>
  </w:style>
  <w:style w:type="character" w:customStyle="1" w:styleId="CommentSubjectChar">
    <w:name w:val="Comment Subject Char"/>
    <w:basedOn w:val="CommentTextChar"/>
    <w:link w:val="CommentSubject"/>
    <w:uiPriority w:val="99"/>
    <w:rPr>
      <w:rFonts w:ascii="Times New Roman" w:eastAsia="Times New Roman" w:hAnsi="Times New Roman"/>
      <w:b/>
      <w:bCs/>
      <w:lang w:val="en-US" w:eastAsia="en-US" w:bidi="ar-SA"/>
    </w:rPr>
  </w:style>
  <w:style w:type="paragraph" w:customStyle="1" w:styleId="Body1">
    <w:name w:val="Body 1"/>
    <w:basedOn w:val="Normal"/>
    <w:pPr>
      <w:spacing w:before="120"/>
      <w:ind w:firstLine="720"/>
      <w:jc w:val="both"/>
    </w:pPr>
    <w:rPr>
      <w:sz w:val="28"/>
      <w:szCs w:val="28"/>
      <w:lang w:val="da-DK"/>
    </w:rPr>
  </w:style>
  <w:style w:type="paragraph" w:customStyle="1" w:styleId="TableParagraph">
    <w:name w:val="Table Paragraph"/>
    <w:basedOn w:val="Normal"/>
    <w:uiPriority w:val="1"/>
    <w:qFormat/>
    <w:pPr>
      <w:widowControl w:val="0"/>
      <w:spacing w:line="263" w:lineRule="exact"/>
    </w:pPr>
    <w:rPr>
      <w:sz w:val="22"/>
      <w:szCs w:val="22"/>
    </w:rPr>
  </w:style>
  <w:style w:type="character" w:customStyle="1" w:styleId="stats-count">
    <w:name w:val="stats-cou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AF861-0EAE-426C-BAB2-808118C5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4244</Words>
  <Characters>24192</Characters>
  <Application>Microsoft Office Word</Application>
  <DocSecurity>0</DocSecurity>
  <Lines>201</Lines>
  <Paragraphs>56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BỘ NÔNG NGHIỆP VÀ PHÁT TRIỂN NÔNG THÔN</vt:lpstr>
      <vt:lpstr>Bảng 5: Phân tích hiệu quả kinh tế các mô hình thử nghiệm chăn nuôi lợn trên chu</vt:lpstr>
      <vt:lpstr>Bảng 6: Phân tích hiệu quả kinh tế các mô hình đầu tư máy tách ép phân tại Bắc G</vt:lpstr>
      <vt:lpstr>Bảng 7: Phân tích hiệu quả kinh tế các mô hình đầu tư hệ thống tưới bằng nước xả</vt:lpstr>
      <vt:lpstr>*Ghi chú: Hộ ông Thân Văn Thành ở Bắc Giang, đầu tư hệ thống tưới cho diện tích </vt:lpstr>
      <vt:lpstr>/</vt:lpstr>
      <vt:lpstr>Bảng 8: Phân tích hiệu quả kinh tế các mô hình thử nghiệm sử dụng bể lắng trước </vt:lpstr>
      <vt:lpstr>/</vt:lpstr>
      <vt:lpstr>Hình 5: Thủ tướng Chính phủ thăm mô hình của dự án LCASP</vt:lpstr>
    </vt:vector>
  </TitlesOfParts>
  <Company>Sky123.Org</Company>
  <LinksUpToDate>false</LinksUpToDate>
  <CharactersWithSpaces>28380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NÔNG NGHIỆP VÀ PHÁT TRIỂN NÔNG THÔN</dc:title>
  <dc:creator>THEMIS</dc:creator>
  <cp:lastModifiedBy>Cty TNHH Thien Son</cp:lastModifiedBy>
  <cp:revision>2</cp:revision>
  <cp:lastPrinted>2016-01-08T03:05:00Z</cp:lastPrinted>
  <dcterms:created xsi:type="dcterms:W3CDTF">2019-08-20T09:59:00Z</dcterms:created>
  <dcterms:modified xsi:type="dcterms:W3CDTF">2019-08-20T09:59:00Z</dcterms:modified>
</cp:coreProperties>
</file>